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Deckoff Stephen H</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KVH INDUSTRIES INC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KVHI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08/21/2025</w:t>
            </w:r>
          </w:p>
        </w:tc>
        <w:tc>
          <w:tcPr>
            <w:tcW w:w="1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5330 YACHT HAVEN GRANDE</w:t>
            </w:r>
          </w:p>
        </w:tc>
        <w:tc>
          <w:tcPr>
            <w:tcW w:w="124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ST. THOMAS</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00802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08/21/2025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13,637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13,637</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140"/>
              <w:spacing w:after="0" w:line="213" w:lineRule="exact"/>
              <w:rPr>
                <w:sz w:val="20"/>
                <w:szCs w:val="20"/>
                <w:color w:val="auto"/>
              </w:rPr>
            </w:pPr>
            <w:r>
              <w:rPr>
                <w:rFonts w:ascii="Times New Roman" w:cs="Times New Roman" w:eastAsia="Times New Roman" w:hAnsi="Times New Roman"/>
                <w:sz w:val="17"/>
                <w:szCs w:val="17"/>
                <w:color w:val="0000FF"/>
              </w:rPr>
              <w:t>3,396,527</w:t>
            </w:r>
            <w:r>
              <w:rPr>
                <w:rFonts w:ascii="Times New Roman" w:cs="Times New Roman" w:eastAsia="Times New Roman" w:hAnsi="Times New Roman"/>
                <w:sz w:val="22"/>
                <w:szCs w:val="22"/>
                <w:color w:val="008000"/>
                <w:vertAlign w:val="superscript"/>
              </w:rPr>
              <w:t>(4)</w:t>
            </w:r>
          </w:p>
        </w:tc>
        <w:tc>
          <w:tcPr>
            <w:tcW w:w="94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(3)</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grant for continuation on KVH's board of directors issued pursuant to the terms &amp; conditions of KVH Industries' 2016 Amended and Restated Equity &amp; Incentive Plan. Restricted stock will vest in four installments on each of 11/21/2025, 2/21/2026, 5/21/2026, and 8/21/2026, provided Mr. Deckoff is still a board member of KVH Industries, Inc. on each vesting date.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restricted stock are held of record by Mr. Deckoff for the benefit of BDCM CT, L.L.C. (formerly known as Black Diamond Capital Management, L.L.C.) and/or certain Black Diamond investment vehicles managed by Black Diamond (the "Black Diamond vehicles") and will be transferred to Black Diamond upon vesting and settlement. Mr. Deckoff disclaims beneficial ownership of these shares,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("Shares") are held directly by the Black Diamond vehicles. Mr. Deckoff is the Managing Principal of the adviser to the Black Diamond vehicles. Mr. Deckoff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amounts have been adjusted to reflect the transfer, since the most recent Form 4 filed on December 18, 2024, of 12,473 Shares from Mr. Deckoff to Black Diamond upon the vesting and settlement of restricted stock previously granted to Mr. Deckoff, which transfer was exempt from Section 16 of the Securities Exchange Act of 1934, as amended (the "Exchange Act"), by virtue of Rule 16a-13 thereunder.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Stephen H. Deckoff</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08/25/2025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6844" TargetMode="External"/><Relationship Id="rId14" Type="http://schemas.openxmlformats.org/officeDocument/2006/relationships/hyperlink" Target="http://www.sec.gov/cgi-bin/browse-edgar?action=getcompany&amp;CIK=00010075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2025-08-25T19:14:28Z</dcterms:created>
  <dcterms:modified xsi:type="dcterms:W3CDTF">2025-08-25T19:14:28Z</dcterms:modified>
</cp:coreProperties>
</file>