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Spytek Joseph Anthony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500 WOOD STREET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UNIT 320, 1ST FLOOR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BRISTOL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RI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02809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KVH INDUSTRIES INC \DE\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KVHI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08/20/2026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43"/>
        <w:gridCol w:w="905"/>
        <w:gridCol w:w="774"/>
        <w:gridCol w:w="601"/>
        <w:gridCol w:w="351"/>
        <w:gridCol w:w="938"/>
        <w:gridCol w:w="461"/>
        <w:gridCol w:w="624"/>
        <w:gridCol w:w="1175"/>
        <w:gridCol w:w="1007"/>
        <w:gridCol w:w="92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2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08/20/2026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J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12,548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30,548</w:t>
            </w:r>
          </w:p>
        </w:tc>
        <w:tc>
          <w:tcPr>
            <w:tcW w:w="10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Restricted stock grant for participation on KVH's board of directors (including various committee positions) issued pursuant to the terms &amp; conditions of KVH Industries' amended and restated 2016 Equity &amp; Incentive Plan. Restricted stock will vest in four installments on each of 11/20/2026, 2/20/2027, 5/20/2027, 8/20/2027, provided Mr. Spytek is still a board member of KVH Industries, Inc.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Joseph Spytek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83759" TargetMode="External"/><Relationship Id="rId5" Type="http://schemas.openxmlformats.org/officeDocument/2006/relationships/hyperlink" Target="http://www.sec.gov/cgi-bin/browse-edgar?action=getcompany&amp;CIK=000100758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621</Words>
  <Characters>3383</Characters>
  <CharactersWithSpaces>3937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