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KVH INDUSTRIES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BlackRock, Inc.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DELAWARE</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964,301.00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981,883.00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981,883.00</w:t>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KVH INDUSTRIES INC</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500 Wood Street, Unit 320, 1st Floor Bristol RI 02809</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1"/>
          <w:szCs w:val="21"/>
          <w:color w:val="auto"/>
        </w:rPr>
        <w:t>BlackRock, Inc. In accordance with SEC Release No. 34-39538 (January 12, 1998), this Schedule 13G reflects the</w:t>
      </w:r>
    </w:p>
    <w:p>
      <w:pPr>
        <w:spacing w:after="0" w:line="26" w:lineRule="exact"/>
        <w:rPr>
          <w:sz w:val="20"/>
          <w:szCs w:val="20"/>
          <w:color w:val="auto"/>
        </w:rPr>
      </w:pPr>
    </w:p>
    <w:p>
      <w:pPr>
        <w:ind w:left="920" w:hanging="912"/>
        <w:spacing w:after="0" w:line="234"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p>
      <w:pPr>
        <w:spacing w:after="0" w:line="15"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BlackRock, Inc., 50 Hudson Yards New York, NY 10001</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spacing w:after="0"/>
        <w:rPr>
          <w:sz w:val="20"/>
          <w:szCs w:val="20"/>
          <w:color w:val="auto"/>
        </w:rPr>
      </w:pPr>
      <w:r>
        <w:rPr>
          <w:rFonts w:ascii="Times New Roman" w:cs="Times New Roman" w:eastAsia="Times New Roman" w:hAnsi="Times New Roman"/>
          <w:sz w:val="22"/>
          <w:szCs w:val="22"/>
          <w:color w:val="auto"/>
        </w:rPr>
        <w:t>See Item 4 of Cover Page</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ind w:left="920" w:hanging="912"/>
        <w:spacing w:after="0" w:line="180" w:lineRule="auto"/>
        <w:tabs>
          <w:tab w:leader="none" w:pos="920" w:val="left"/>
        </w:tabs>
        <w:numPr>
          <w:ilvl w:val="0"/>
          <w:numId w:val="4"/>
        </w:numPr>
        <w:rPr>
          <w:rFonts w:ascii="Times New Roman" w:cs="Times New Roman" w:eastAsia="Times New Roman" w:hAnsi="Times New Roman"/>
          <w:sz w:val="35"/>
          <w:szCs w:val="35"/>
          <w:color w:val="auto"/>
          <w:vertAlign w:val="subscript"/>
        </w:rPr>
      </w:pPr>
      <w:r>
        <w:rPr>
          <w:rFonts w:ascii="Times New Roman" w:cs="Times New Roman" w:eastAsia="Times New Roman" w:hAnsi="Times New Roman"/>
          <w:sz w:val="19"/>
          <w:szCs w:val="19"/>
          <w:color w:val="auto"/>
        </w:rPr>
        <w:t>CUSIP No.:</w:t>
      </w:r>
    </w:p>
    <w:p>
      <w:pPr>
        <w:spacing w:after="0" w:line="258"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ectPr>
          <w:pgSz w:w="11900" w:h="16901" w:orient="portrait"/>
          <w:cols w:equalWidth="0" w:num="1">
            <w:col w:w="11000"/>
          </w:cols>
          <w:pgMar w:left="360" w:top="102" w:right="539" w:bottom="0" w:gutter="0" w:footer="0" w:header="0"/>
        </w:sectPr>
      </w:pPr>
    </w:p>
    <w:bookmarkStart w:id="2" w:name="page3"/>
    <w:bookmarkEnd w:id="2"/>
    <w:p>
      <w:pPr>
        <w:ind w:left="920" w:right="680" w:hanging="912"/>
        <w:spacing w:after="0" w:line="185" w:lineRule="auto"/>
        <w:tabs>
          <w:tab w:leader="none" w:pos="920" w:val="left"/>
        </w:tabs>
        <w:numPr>
          <w:ilvl w:val="0"/>
          <w:numId w:val="6"/>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981883</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5.4 %</w:t>
      </w:r>
    </w:p>
    <w:p>
      <w:pPr>
        <w:spacing w:after="0" w:line="20" w:lineRule="exact"/>
        <w:rPr>
          <w:sz w:val="20"/>
          <w:szCs w:val="20"/>
          <w:color w:val="auto"/>
        </w:rPr>
      </w:pPr>
    </w:p>
    <w:p>
      <w:pPr>
        <w:ind w:left="920" w:hanging="912"/>
        <w:spacing w:after="0"/>
        <w:tabs>
          <w:tab w:leader="none" w:pos="92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80"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964301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981883</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20"/>
        <w:spacing w:after="0" w:line="244" w:lineRule="auto"/>
        <w:rPr>
          <w:sz w:val="20"/>
          <w:szCs w:val="20"/>
          <w:color w:val="auto"/>
        </w:rPr>
      </w:pPr>
      <w:r>
        <w:rPr>
          <w:rFonts w:ascii="Times New Roman" w:cs="Times New Roman" w:eastAsia="Times New Roman" w:hAnsi="Times New Roman"/>
          <w:sz w:val="22"/>
          <w:szCs w:val="22"/>
          <w:color w:val="auto"/>
        </w:rPr>
        <w:t>Various persons have the right to receive or the power to direct the receipt of dividends from, or the proceeds from the sale of the common stock of KVH INDUSTRIES INC. No one person's interest in the common stock of KVH INDUSTRIES INC is more than five percent of the total outstanding common shares.</w:t>
      </w:r>
    </w:p>
    <w:p>
      <w:pPr>
        <w:spacing w:after="0" w:line="11"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838" w:orient="portrait"/>
          <w:cols w:equalWidth="0" w:num="2">
            <w:col w:w="620" w:space="300"/>
            <w:col w:w="10220"/>
          </w:cols>
          <w:pgMar w:left="360" w:top="180" w:right="399" w:bottom="0" w:gutter="0" w:footer="0" w:header="0"/>
          <w:type w:val="continuous"/>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61" w:lineRule="auto"/>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w:t>
      </w:r>
    </w:p>
    <w:p>
      <w:pPr>
        <w:sectPr>
          <w:pgSz w:w="11900" w:h="16838" w:orient="portrait"/>
          <w:cols w:equalWidth="0" w:num="1">
            <w:col w:w="11140"/>
          </w:cols>
          <w:pgMar w:left="360" w:top="180" w:right="399" w:bottom="0" w:gutter="0" w:footer="0" w:header="0"/>
          <w:type w:val="continuous"/>
        </w:sectPr>
      </w:pPr>
    </w:p>
    <w:bookmarkStart w:id="3" w:name="page4"/>
    <w:bookmarkEnd w:id="3"/>
    <w:p>
      <w:pPr>
        <w:ind w:left="940" w:right="500"/>
        <w:spacing w:after="0" w:line="259" w:lineRule="auto"/>
        <w:rPr>
          <w:sz w:val="20"/>
          <w:szCs w:val="20"/>
          <w:color w:val="auto"/>
        </w:rPr>
      </w:pPr>
      <w:r>
        <w:rPr>
          <w:rFonts w:ascii="Times New Roman" w:cs="Times New Roman" w:eastAsia="Times New Roman" w:hAnsi="Times New Roman"/>
          <w:sz w:val="22"/>
          <w:szCs w:val="22"/>
          <w:color w:val="auto"/>
        </w:rPr>
        <w:t>connection with or as a participant in any transaction having that purpose or effect, other than activities solely in connection with a nomination under § 240.14a-11.</w:t>
      </w:r>
    </w:p>
    <w:p>
      <w:pPr>
        <w:spacing w:after="0" w:line="26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BlackRock, Inc.</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Spencer Fleming</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Managing Director</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10/27/2026</w:t>
      </w:r>
    </w:p>
    <w:p>
      <w:pPr>
        <w:spacing w:after="0" w:line="108" w:lineRule="exact"/>
        <w:rPr>
          <w:sz w:val="20"/>
          <w:szCs w:val="20"/>
          <w:color w:val="auto"/>
        </w:rPr>
      </w:pPr>
    </w:p>
    <w:p>
      <w:pPr>
        <w:jc w:val="center"/>
        <w:ind w:right="692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Exhibit 24: Power of Attorney Exhibit 99: Item 7</w:t>
      </w:r>
    </w:p>
    <w:p>
      <w:pPr>
        <w:sectPr>
          <w:pgSz w:w="11900" w:h="16838" w:orient="portrait"/>
          <w:cols w:equalWidth="0" w:num="1">
            <w:col w:w="11140"/>
          </w:cols>
          <w:pgMar w:left="360" w:top="112" w:right="399"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jc w:val="both"/>
        <w:ind w:right="2439"/>
        <w:spacing w:after="0" w:line="282"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Eric Andruczyk, Richard Cundiff,</w:t>
      </w:r>
    </w:p>
    <w:p>
      <w:pPr>
        <w:spacing w:after="0" w:line="1" w:lineRule="exact"/>
        <w:rPr>
          <w:sz w:val="20"/>
          <w:szCs w:val="20"/>
          <w:color w:val="auto"/>
        </w:rPr>
      </w:pPr>
    </w:p>
    <w:p>
      <w:pPr>
        <w:ind w:right="2239"/>
        <w:spacing w:after="0" w:line="241" w:lineRule="auto"/>
        <w:rPr>
          <w:sz w:val="20"/>
          <w:szCs w:val="20"/>
          <w:color w:val="auto"/>
        </w:rPr>
      </w:pPr>
      <w:r>
        <w:rPr>
          <w:rFonts w:ascii="Courier New" w:cs="Courier New" w:eastAsia="Courier New" w:hAnsi="Courier New"/>
          <w:sz w:val="18"/>
          <w:szCs w:val="18"/>
          <w:color w:val="auto"/>
        </w:rPr>
        <w:t>R. Andrew Dickson, III, Spencer Fleming, Laura Hildner, David Maryles, Christopher Meade, Charles Park, James Raby, Daniel Riemer, David Rothenberg and Brenda Schulz, acting severally, as its true and lawful attorneys-in-fact, for the purpose of, from time to time, executing, in its name and on its behalf and on behalf of its direct and indirect subsidiaries and affiliates, any and all documents, certificates, instruments, statements, filings, agreements and amendments (collectively, "documents") determined by such person to be necessary or appropriate to comply with ownership or control-person reporting requirements imposed by any United States or non-United States governmental or regulatory authority, including, without limitation, Schedules 13D and 13G and Forms 3, 4, 5, 13F, 13H, SHO and N-PX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112" w:lineRule="exact"/>
        <w:rPr>
          <w:sz w:val="20"/>
          <w:szCs w:val="20"/>
          <w:color w:val="auto"/>
        </w:rPr>
      </w:pPr>
    </w:p>
    <w:p>
      <w:pPr>
        <w:ind w:right="243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30th day of April, 2023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21st day of January, 2025.</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p>
      <w:pPr>
        <w:sectPr>
          <w:pgSz w:w="11900" w:h="16838" w:orient="portrait"/>
          <w:cols w:equalWidth="0" w:num="1">
            <w:col w:w="10139"/>
          </w:cols>
          <w:pgMar w:left="320" w:top="110"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Item 7</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Advisors, LLC</w:t>
      </w:r>
    </w:p>
    <w:p>
      <w:pPr>
        <w:ind w:left="120"/>
        <w:spacing w:after="0" w:line="238" w:lineRule="auto"/>
        <w:rPr>
          <w:sz w:val="20"/>
          <w:szCs w:val="20"/>
          <w:color w:val="auto"/>
        </w:rPr>
      </w:pPr>
      <w:r>
        <w:rPr>
          <w:rFonts w:ascii="Courier New" w:cs="Courier New" w:eastAsia="Courier New" w:hAnsi="Courier New"/>
          <w:sz w:val="18"/>
          <w:szCs w:val="18"/>
          <w:color w:val="auto"/>
        </w:rPr>
        <w:t>BlackRock Fund Advisors</w:t>
      </w:r>
    </w:p>
    <w:p>
      <w:pPr>
        <w:ind w:left="120"/>
        <w:spacing w:after="0"/>
        <w:rPr>
          <w:sz w:val="20"/>
          <w:szCs w:val="20"/>
          <w:color w:val="auto"/>
        </w:rPr>
      </w:pPr>
      <w:r>
        <w:rPr>
          <w:rFonts w:ascii="Courier New" w:cs="Courier New" w:eastAsia="Courier New" w:hAnsi="Courier New"/>
          <w:sz w:val="16"/>
          <w:szCs w:val="16"/>
          <w:color w:val="auto"/>
        </w:rPr>
        <w:t>BlackRock Institutional Trust Company, National Association</w:t>
      </w:r>
    </w:p>
    <w:p>
      <w:pPr>
        <w:spacing w:after="0" w:line="20"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sectPr>
      <w:pgSz w:w="11900" w:h="16838" w:orient="portrait"/>
      <w:cols w:equalWidth="0" w:num="1">
        <w:col w:w="10139"/>
      </w:cols>
      <w:pgMar w:left="32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2"/>
      <w:numFmt w:val="bullet"/>
      <w:start w:val="1"/>
    </w:lvl>
  </w:abstractNum>
  <w:abstractNum w:abstractNumId="1">
    <w:nsid w:val="3D1B58BA"/>
    <w:multiLevelType w:val="hybridMultilevel"/>
    <w:lvl w:ilvl="0">
      <w:lvlJc w:val="left"/>
      <w:lvlText w:val="3"/>
      <w:numFmt w:val="bullet"/>
      <w:start w:val="1"/>
    </w:lvl>
  </w:abstractNum>
  <w:abstractNum w:abstractNumId="2">
    <w:nsid w:val="507ED7AB"/>
    <w:multiLevelType w:val="hybridMultilevel"/>
    <w:lvl w:ilvl="0">
      <w:lvlJc w:val="left"/>
      <w:lvlText w:val="(%1)"/>
      <w:numFmt w:val="lowerLetter"/>
      <w:start w:val="1"/>
    </w:lvl>
  </w:abstractNum>
  <w:abstractNum w:abstractNumId="3">
    <w:nsid w:val="2EB141F2"/>
    <w:multiLevelType w:val="hybridMultilevel"/>
    <w:lvl w:ilvl="0">
      <w:lvlJc w:val="left"/>
      <w:lvlText w:val="(%1)"/>
      <w:numFmt w:val="lowerLetter"/>
      <w:start w:val="5"/>
    </w:lvl>
  </w:abstractNum>
  <w:abstractNum w:abstractNumId="4">
    <w:nsid w:val="41B71EFB"/>
    <w:multiLevelType w:val="hybridMultilevel"/>
    <w:lvl w:ilvl="0">
      <w:lvlJc w:val="left"/>
      <w:lvlText w:val="(%1)"/>
      <w:numFmt w:val="lowerLetter"/>
      <w:start w:val="1"/>
    </w:lvl>
  </w:abstractNum>
  <w:abstractNum w:abstractNumId="5">
    <w:nsid w:val="79E2A9E3"/>
    <w:multiLevelType w:val="hybridMultilevel"/>
    <w:lvl w:ilvl="0">
      <w:lvlJc w:val="left"/>
      <w:lvlText w:val="(%1)"/>
      <w:numFmt w:val="lowerLetter"/>
      <w:start w:val="9"/>
    </w:lvl>
  </w:abstractNum>
  <w:abstractNum w:abstractNumId="6">
    <w:nsid w:val="7545E146"/>
    <w:multiLevelType w:val="hybridMultilevel"/>
    <w:lvl w:ilvl="0">
      <w:lvlJc w:val="left"/>
      <w:lvlText w:val="(%1)"/>
      <w:numFmt w:val="lowerLetter"/>
      <w:start w:val="11"/>
    </w:lvl>
  </w:abstractNum>
  <w:abstractNum w:abstractNumId="7">
    <w:nsid w:val="515F007C"/>
    <w:multiLevelType w:val="hybridMultilevel"/>
    <w:lvl w:ilvl="0">
      <w:lvlJc w:val="left"/>
      <w:lvlText w:val="(%1)"/>
      <w:numFmt w:val="lowerLetter"/>
      <w:start w:val="3"/>
    </w:lvl>
  </w:abstractNum>
  <w:abstractNum w:abstractNumId="8">
    <w:nsid w:val="5BD062C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2026-10-27T16:36:35Z</dcterms:created>
  <dcterms:modified xsi:type="dcterms:W3CDTF">2026-10-27T16:36:35Z</dcterms:modified>
</cp:coreProperties>
</file>