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370205</wp:posOffset>
            </wp:positionH>
            <wp:positionV relativeFrom="paragraph">
              <wp:posOffset>255905</wp:posOffset>
            </wp:positionV>
            <wp:extent cx="64096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09690" cy="8255"/>
                    </a:xfrm>
                    <a:prstGeom prst="rect">
                      <a:avLst/>
                    </a:prstGeom>
                    <a:noFill/>
                  </pic:spPr>
                </pic:pic>
              </a:graphicData>
            </a:graphic>
          </wp:anchor>
        </w:drawing>
        <w:drawing>
          <wp:anchor simplePos="0" relativeHeight="251657728" behindDoc="1" locked="0" layoutInCell="0" allowOverlap="1">
            <wp:simplePos x="0" y="0"/>
            <wp:positionH relativeFrom="column">
              <wp:posOffset>370205</wp:posOffset>
            </wp:positionH>
            <wp:positionV relativeFrom="paragraph">
              <wp:posOffset>222250</wp:posOffset>
            </wp:positionV>
            <wp:extent cx="64096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0969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10-K</w:t>
      </w:r>
    </w:p>
    <w:p>
      <w:pPr>
        <w:spacing w:after="0" w:line="123"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(Mark One)</w:t>
      </w:r>
    </w:p>
    <w:p>
      <w:pPr>
        <w:spacing w:after="0" w:line="24" w:lineRule="exact"/>
        <w:rPr>
          <w:sz w:val="24"/>
          <w:szCs w:val="24"/>
          <w:color w:val="auto"/>
        </w:rPr>
      </w:pPr>
    </w:p>
    <w:p>
      <w:pPr>
        <w:ind w:left="1180" w:hanging="380"/>
        <w:spacing w:after="0"/>
        <w:tabs>
          <w:tab w:leader="none" w:pos="11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2023</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0" w:lineRule="exact"/>
        <w:rPr>
          <w:sz w:val="24"/>
          <w:szCs w:val="24"/>
          <w:color w:val="auto"/>
        </w:rPr>
      </w:pPr>
    </w:p>
    <w:p>
      <w:pPr>
        <w:ind w:left="1180" w:hanging="380"/>
        <w:spacing w:after="0"/>
        <w:tabs>
          <w:tab w:leader="none" w:pos="11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82" w:lineRule="exact"/>
        <w:rPr>
          <w:sz w:val="24"/>
          <w:szCs w:val="24"/>
          <w:color w:val="auto"/>
        </w:rPr>
      </w:pPr>
    </w:p>
    <w:tbl>
      <w:tblPr>
        <w:tblLayout w:type="fixed"/>
        <w:tblInd w:w="240" w:type="dxa"/>
        <w:tblCellMar>
          <w:top w:w="0" w:type="dxa"/>
          <w:left w:w="0" w:type="dxa"/>
          <w:bottom w:w="0" w:type="dxa"/>
          <w:right w:w="0" w:type="dxa"/>
        </w:tblCellMar>
      </w:tblPr>
      <w:tr>
        <w:trPr>
          <w:trHeight w:val="184"/>
        </w:trPr>
        <w:tc>
          <w:tcPr>
            <w:tcW w:w="5520" w:type="dxa"/>
            <w:vAlign w:val="bottom"/>
            <w:gridSpan w:val="2"/>
          </w:tcPr>
          <w:p>
            <w:pPr>
              <w:ind w:left="3460"/>
              <w:spacing w:after="0"/>
              <w:rPr>
                <w:sz w:val="20"/>
                <w:szCs w:val="20"/>
                <w:color w:val="auto"/>
              </w:rPr>
            </w:pPr>
            <w:r>
              <w:rPr>
                <w:rFonts w:ascii="Times New Roman" w:cs="Times New Roman" w:eastAsia="Times New Roman" w:hAnsi="Times New Roman"/>
                <w:sz w:val="16"/>
                <w:szCs w:val="16"/>
                <w:b w:val="1"/>
                <w:bCs w:val="1"/>
                <w:color w:val="auto"/>
                <w:w w:val="98"/>
              </w:rPr>
              <w:t>For the transition period from</w:t>
            </w:r>
          </w:p>
        </w:tc>
        <w:tc>
          <w:tcPr>
            <w:tcW w:w="800" w:type="dxa"/>
            <w:vAlign w:val="bottom"/>
            <w:tcBorders>
              <w:bottom w:val="single" w:sz="8" w:color="auto"/>
            </w:tcBorders>
          </w:tcPr>
          <w:p>
            <w:pPr>
              <w:spacing w:after="0"/>
              <w:rPr>
                <w:sz w:val="16"/>
                <w:szCs w:val="16"/>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c>
          <w:tcPr>
            <w:tcW w:w="800" w:type="dxa"/>
            <w:vAlign w:val="bottom"/>
            <w:tcBorders>
              <w:bottom w:val="single" w:sz="8" w:color="auto"/>
            </w:tcBorders>
          </w:tcPr>
          <w:p>
            <w:pPr>
              <w:spacing w:after="0"/>
              <w:rPr>
                <w:sz w:val="16"/>
                <w:szCs w:val="16"/>
                <w:color w:val="auto"/>
              </w:rPr>
            </w:pP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640" w:type="dxa"/>
            <w:vAlign w:val="bottom"/>
          </w:tcPr>
          <w:p>
            <w:pPr>
              <w:spacing w:after="0"/>
              <w:rPr>
                <w:sz w:val="18"/>
                <w:szCs w:val="18"/>
                <w:color w:val="auto"/>
              </w:rPr>
            </w:pPr>
          </w:p>
        </w:tc>
        <w:tc>
          <w:tcPr>
            <w:tcW w:w="7020" w:type="dxa"/>
            <w:vAlign w:val="bottom"/>
            <w:gridSpan w:val="5"/>
          </w:tcPr>
          <w:p>
            <w:pPr>
              <w:jc w:val="center"/>
              <w:ind w:right="3461"/>
              <w:spacing w:after="0"/>
              <w:rPr>
                <w:sz w:val="20"/>
                <w:szCs w:val="20"/>
                <w:color w:val="auto"/>
              </w:rPr>
            </w:pPr>
            <w:r>
              <w:rPr>
                <w:rFonts w:ascii="Times New Roman" w:cs="Times New Roman" w:eastAsia="Times New Roman" w:hAnsi="Times New Roman"/>
                <w:sz w:val="16"/>
                <w:szCs w:val="16"/>
                <w:b w:val="1"/>
                <w:bCs w:val="1"/>
                <w:color w:val="auto"/>
                <w:w w:val="98"/>
              </w:rPr>
              <w:t>Commission File Number 0-28082</w:t>
            </w:r>
          </w:p>
        </w:tc>
        <w:tc>
          <w:tcPr>
            <w:tcW w:w="0" w:type="dxa"/>
            <w:vAlign w:val="bottom"/>
          </w:tcPr>
          <w:p>
            <w:pPr>
              <w:spacing w:after="0"/>
              <w:rPr>
                <w:sz w:val="1"/>
                <w:szCs w:val="1"/>
                <w:color w:val="auto"/>
              </w:rPr>
            </w:pPr>
          </w:p>
        </w:tc>
      </w:tr>
      <w:tr>
        <w:trPr>
          <w:trHeight w:val="506"/>
        </w:trPr>
        <w:tc>
          <w:tcPr>
            <w:tcW w:w="3640" w:type="dxa"/>
            <w:vAlign w:val="bottom"/>
          </w:tcPr>
          <w:p>
            <w:pPr>
              <w:spacing w:after="0"/>
              <w:rPr>
                <w:sz w:val="24"/>
                <w:szCs w:val="24"/>
                <w:color w:val="auto"/>
              </w:rPr>
            </w:pPr>
          </w:p>
        </w:tc>
        <w:tc>
          <w:tcPr>
            <w:tcW w:w="7020" w:type="dxa"/>
            <w:vAlign w:val="bottom"/>
            <w:gridSpan w:val="5"/>
          </w:tcPr>
          <w:p>
            <w:pPr>
              <w:jc w:val="center"/>
              <w:ind w:right="3461"/>
              <w:spacing w:after="0"/>
              <w:rPr>
                <w:sz w:val="20"/>
                <w:szCs w:val="20"/>
                <w:color w:val="auto"/>
              </w:rPr>
            </w:pPr>
            <w:r>
              <w:rPr>
                <w:rFonts w:ascii="Times New Roman" w:cs="Times New Roman" w:eastAsia="Times New Roman" w:hAnsi="Times New Roman"/>
                <w:sz w:val="33"/>
                <w:szCs w:val="33"/>
                <w:b w:val="1"/>
                <w:bCs w:val="1"/>
                <w:color w:val="auto"/>
              </w:rPr>
              <w:t>KVH Industries, Inc.</w:t>
            </w:r>
          </w:p>
        </w:tc>
        <w:tc>
          <w:tcPr>
            <w:tcW w:w="0" w:type="dxa"/>
            <w:vAlign w:val="bottom"/>
          </w:tcPr>
          <w:p>
            <w:pPr>
              <w:spacing w:after="0"/>
              <w:rPr>
                <w:sz w:val="1"/>
                <w:szCs w:val="1"/>
                <w:color w:val="auto"/>
              </w:rPr>
            </w:pPr>
          </w:p>
        </w:tc>
      </w:tr>
      <w:tr>
        <w:trPr>
          <w:trHeight w:val="185"/>
        </w:trPr>
        <w:tc>
          <w:tcPr>
            <w:tcW w:w="3640" w:type="dxa"/>
            <w:vAlign w:val="bottom"/>
          </w:tcPr>
          <w:p>
            <w:pPr>
              <w:spacing w:after="0"/>
              <w:rPr>
                <w:sz w:val="16"/>
                <w:szCs w:val="16"/>
                <w:color w:val="auto"/>
              </w:rPr>
            </w:pPr>
          </w:p>
        </w:tc>
        <w:tc>
          <w:tcPr>
            <w:tcW w:w="7020" w:type="dxa"/>
            <w:vAlign w:val="bottom"/>
            <w:gridSpan w:val="5"/>
          </w:tcPr>
          <w:p>
            <w:pPr>
              <w:jc w:val="center"/>
              <w:ind w:right="3461"/>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tc>
        <w:tc>
          <w:tcPr>
            <w:tcW w:w="0" w:type="dxa"/>
            <w:vAlign w:val="bottom"/>
          </w:tcPr>
          <w:p>
            <w:pPr>
              <w:spacing w:after="0"/>
              <w:rPr>
                <w:sz w:val="1"/>
                <w:szCs w:val="1"/>
                <w:color w:val="auto"/>
              </w:rPr>
            </w:pPr>
          </w:p>
        </w:tc>
      </w:tr>
      <w:tr>
        <w:trPr>
          <w:trHeight w:val="335"/>
        </w:trPr>
        <w:tc>
          <w:tcPr>
            <w:tcW w:w="3640" w:type="dxa"/>
            <w:vAlign w:val="bottom"/>
          </w:tcPr>
          <w:p>
            <w:pPr>
              <w:jc w:val="center"/>
              <w:ind w:left="156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340" w:type="dxa"/>
            <w:vAlign w:val="bottom"/>
            <w:gridSpan w:val="3"/>
          </w:tcPr>
          <w:p>
            <w:pPr>
              <w:jc w:val="right"/>
              <w:ind w:right="2201"/>
              <w:spacing w:after="0"/>
              <w:rPr>
                <w:sz w:val="20"/>
                <w:szCs w:val="20"/>
                <w:color w:val="auto"/>
              </w:rPr>
            </w:pPr>
            <w:r>
              <w:rPr>
                <w:rFonts w:ascii="Times New Roman" w:cs="Times New Roman" w:eastAsia="Times New Roman" w:hAnsi="Times New Roman"/>
                <w:sz w:val="16"/>
                <w:szCs w:val="16"/>
                <w:b w:val="1"/>
                <w:bCs w:val="1"/>
                <w:color w:val="auto"/>
              </w:rPr>
              <w:t>05-0420589</w:t>
            </w:r>
          </w:p>
        </w:tc>
        <w:tc>
          <w:tcPr>
            <w:tcW w:w="0" w:type="dxa"/>
            <w:vAlign w:val="bottom"/>
          </w:tcPr>
          <w:p>
            <w:pPr>
              <w:spacing w:after="0"/>
              <w:rPr>
                <w:sz w:val="1"/>
                <w:szCs w:val="1"/>
                <w:color w:val="auto"/>
              </w:rPr>
            </w:pPr>
          </w:p>
        </w:tc>
      </w:tr>
      <w:tr>
        <w:trPr>
          <w:trHeight w:val="210"/>
        </w:trPr>
        <w:tc>
          <w:tcPr>
            <w:tcW w:w="6320" w:type="dxa"/>
            <w:vAlign w:val="bottom"/>
            <w:gridSpan w:val="3"/>
          </w:tcPr>
          <w:p>
            <w:pPr>
              <w:jc w:val="center"/>
              <w:ind w:right="1060"/>
              <w:spacing w:after="0"/>
              <w:rPr>
                <w:sz w:val="20"/>
                <w:szCs w:val="20"/>
                <w:color w:val="auto"/>
              </w:rPr>
            </w:pPr>
            <w:r>
              <w:rPr>
                <w:rFonts w:ascii="Times New Roman" w:cs="Times New Roman" w:eastAsia="Times New Roman" w:hAnsi="Times New Roman"/>
                <w:sz w:val="16"/>
                <w:szCs w:val="16"/>
                <w:i w:val="1"/>
                <w:iCs w:val="1"/>
                <w:color w:val="auto"/>
                <w:w w:val="98"/>
              </w:rPr>
              <w:t>(State or Other Jurisdiction of Incorporation or Organization)</w:t>
            </w:r>
          </w:p>
        </w:tc>
        <w:tc>
          <w:tcPr>
            <w:tcW w:w="200" w:type="dxa"/>
            <w:vAlign w:val="bottom"/>
          </w:tcPr>
          <w:p>
            <w:pPr>
              <w:spacing w:after="0"/>
              <w:rPr>
                <w:sz w:val="18"/>
                <w:szCs w:val="18"/>
                <w:color w:val="auto"/>
              </w:rPr>
            </w:pPr>
          </w:p>
        </w:tc>
        <w:tc>
          <w:tcPr>
            <w:tcW w:w="4140" w:type="dxa"/>
            <w:vAlign w:val="bottom"/>
            <w:gridSpan w:val="2"/>
          </w:tcPr>
          <w:p>
            <w:pPr>
              <w:jc w:val="center"/>
              <w:ind w:right="1081"/>
              <w:spacing w:after="0"/>
              <w:rPr>
                <w:sz w:val="20"/>
                <w:szCs w:val="20"/>
                <w:color w:val="auto"/>
              </w:rPr>
            </w:pPr>
            <w:r>
              <w:rPr>
                <w:rFonts w:ascii="Times New Roman" w:cs="Times New Roman" w:eastAsia="Times New Roman" w:hAnsi="Times New Roman"/>
                <w:sz w:val="16"/>
                <w:szCs w:val="16"/>
                <w:i w:val="1"/>
                <w:iCs w:val="1"/>
                <w:color w:val="auto"/>
                <w:w w:val="98"/>
              </w:rPr>
              <w:t>(I.R.S. Employer Identification Number)</w:t>
            </w:r>
          </w:p>
        </w:tc>
        <w:tc>
          <w:tcPr>
            <w:tcW w:w="0" w:type="dxa"/>
            <w:vAlign w:val="bottom"/>
          </w:tcPr>
          <w:p>
            <w:pPr>
              <w:spacing w:after="0"/>
              <w:rPr>
                <w:sz w:val="1"/>
                <w:szCs w:val="1"/>
                <w:color w:val="auto"/>
              </w:rPr>
            </w:pPr>
          </w:p>
        </w:tc>
      </w:tr>
      <w:tr>
        <w:trPr>
          <w:trHeight w:val="269"/>
        </w:trPr>
        <w:tc>
          <w:tcPr>
            <w:tcW w:w="3640" w:type="dxa"/>
            <w:vAlign w:val="bottom"/>
          </w:tcPr>
          <w:p>
            <w:pPr>
              <w:spacing w:after="0"/>
              <w:rPr>
                <w:sz w:val="23"/>
                <w:szCs w:val="23"/>
                <w:color w:val="auto"/>
              </w:rPr>
            </w:pPr>
          </w:p>
        </w:tc>
        <w:tc>
          <w:tcPr>
            <w:tcW w:w="7020" w:type="dxa"/>
            <w:vAlign w:val="bottom"/>
            <w:gridSpan w:val="5"/>
          </w:tcPr>
          <w:p>
            <w:pPr>
              <w:jc w:val="center"/>
              <w:ind w:right="3461"/>
              <w:spacing w:after="0"/>
              <w:rPr>
                <w:sz w:val="20"/>
                <w:szCs w:val="20"/>
                <w:color w:val="auto"/>
              </w:rPr>
            </w:pPr>
            <w:r>
              <w:rPr>
                <w:rFonts w:ascii="Times New Roman" w:cs="Times New Roman" w:eastAsia="Times New Roman" w:hAnsi="Times New Roman"/>
                <w:sz w:val="18"/>
                <w:szCs w:val="18"/>
                <w:b w:val="1"/>
                <w:bCs w:val="1"/>
                <w:color w:val="auto"/>
                <w:w w:val="96"/>
              </w:rPr>
              <w:t>50 Enterprise Center, Middletown, RI 02842</w:t>
            </w:r>
          </w:p>
        </w:tc>
        <w:tc>
          <w:tcPr>
            <w:tcW w:w="0" w:type="dxa"/>
            <w:vAlign w:val="bottom"/>
          </w:tcPr>
          <w:p>
            <w:pPr>
              <w:spacing w:after="0"/>
              <w:rPr>
                <w:sz w:val="1"/>
                <w:szCs w:val="1"/>
                <w:color w:val="auto"/>
              </w:rPr>
            </w:pPr>
          </w:p>
        </w:tc>
      </w:tr>
      <w:tr>
        <w:trPr>
          <w:trHeight w:val="179"/>
        </w:trPr>
        <w:tc>
          <w:tcPr>
            <w:tcW w:w="3640" w:type="dxa"/>
            <w:vAlign w:val="bottom"/>
          </w:tcPr>
          <w:p>
            <w:pPr>
              <w:spacing w:after="0"/>
              <w:rPr>
                <w:sz w:val="15"/>
                <w:szCs w:val="15"/>
                <w:color w:val="auto"/>
              </w:rPr>
            </w:pPr>
          </w:p>
        </w:tc>
        <w:tc>
          <w:tcPr>
            <w:tcW w:w="7020" w:type="dxa"/>
            <w:vAlign w:val="bottom"/>
            <w:gridSpan w:val="5"/>
          </w:tcPr>
          <w:p>
            <w:pPr>
              <w:jc w:val="center"/>
              <w:ind w:right="3441"/>
              <w:spacing w:after="0"/>
              <w:rPr>
                <w:sz w:val="20"/>
                <w:szCs w:val="20"/>
                <w:color w:val="auto"/>
              </w:rPr>
            </w:pPr>
            <w:r>
              <w:rPr>
                <w:rFonts w:ascii="Times New Roman" w:cs="Times New Roman" w:eastAsia="Times New Roman" w:hAnsi="Times New Roman"/>
                <w:sz w:val="14"/>
                <w:szCs w:val="14"/>
                <w:i w:val="1"/>
                <w:iCs w:val="1"/>
                <w:color w:val="auto"/>
                <w:w w:val="99"/>
              </w:rPr>
              <w:t>(Address of Principal Executive Offices) (Zip Code)</w:t>
            </w:r>
          </w:p>
        </w:tc>
        <w:tc>
          <w:tcPr>
            <w:tcW w:w="0" w:type="dxa"/>
            <w:vAlign w:val="bottom"/>
          </w:tcPr>
          <w:p>
            <w:pPr>
              <w:spacing w:after="0"/>
              <w:rPr>
                <w:sz w:val="1"/>
                <w:szCs w:val="1"/>
                <w:color w:val="auto"/>
              </w:rPr>
            </w:pPr>
          </w:p>
        </w:tc>
      </w:tr>
      <w:tr>
        <w:trPr>
          <w:trHeight w:val="175"/>
        </w:trPr>
        <w:tc>
          <w:tcPr>
            <w:tcW w:w="3640" w:type="dxa"/>
            <w:vAlign w:val="bottom"/>
          </w:tcPr>
          <w:p>
            <w:pPr>
              <w:spacing w:after="0"/>
              <w:rPr>
                <w:sz w:val="15"/>
                <w:szCs w:val="15"/>
                <w:color w:val="auto"/>
              </w:rPr>
            </w:pPr>
          </w:p>
        </w:tc>
        <w:tc>
          <w:tcPr>
            <w:tcW w:w="2680" w:type="dxa"/>
            <w:vAlign w:val="bottom"/>
            <w:gridSpan w:val="2"/>
          </w:tcPr>
          <w:p>
            <w:pPr>
              <w:jc w:val="center"/>
              <w:ind w:left="733"/>
              <w:spacing w:after="0" w:line="175" w:lineRule="exact"/>
              <w:rPr>
                <w:sz w:val="20"/>
                <w:szCs w:val="20"/>
                <w:color w:val="auto"/>
              </w:rPr>
            </w:pPr>
            <w:r>
              <w:rPr>
                <w:rFonts w:ascii="Times New Roman" w:cs="Times New Roman" w:eastAsia="Times New Roman" w:hAnsi="Times New Roman"/>
                <w:sz w:val="16"/>
                <w:szCs w:val="16"/>
                <w:b w:val="1"/>
                <w:bCs w:val="1"/>
                <w:color w:val="auto"/>
                <w:w w:val="97"/>
              </w:rPr>
              <w:t>(401) 847-3327</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40" w:type="dxa"/>
            <w:vAlign w:val="bottom"/>
          </w:tcPr>
          <w:p>
            <w:pPr>
              <w:spacing w:after="0"/>
              <w:rPr>
                <w:sz w:val="15"/>
                <w:szCs w:val="15"/>
                <w:color w:val="auto"/>
              </w:rPr>
            </w:pPr>
          </w:p>
        </w:tc>
        <w:tc>
          <w:tcPr>
            <w:tcW w:w="7020" w:type="dxa"/>
            <w:vAlign w:val="bottom"/>
            <w:gridSpan w:val="5"/>
          </w:tcPr>
          <w:p>
            <w:pPr>
              <w:jc w:val="center"/>
              <w:ind w:right="3461"/>
              <w:spacing w:after="0"/>
              <w:rPr>
                <w:sz w:val="20"/>
                <w:szCs w:val="20"/>
                <w:color w:val="auto"/>
              </w:rPr>
            </w:pPr>
            <w:r>
              <w:rPr>
                <w:rFonts w:ascii="Times New Roman" w:cs="Times New Roman" w:eastAsia="Times New Roman" w:hAnsi="Times New Roman"/>
                <w:sz w:val="14"/>
                <w:szCs w:val="14"/>
                <w:i w:val="1"/>
                <w:iCs w:val="1"/>
                <w:color w:val="auto"/>
                <w:w w:val="98"/>
              </w:rPr>
              <w:t>(Registrant’s Telephone Number, Including Area Code)</w:t>
            </w:r>
          </w:p>
        </w:tc>
        <w:tc>
          <w:tcPr>
            <w:tcW w:w="0" w:type="dxa"/>
            <w:vAlign w:val="bottom"/>
          </w:tcPr>
          <w:p>
            <w:pPr>
              <w:spacing w:after="0"/>
              <w:rPr>
                <w:sz w:val="1"/>
                <w:szCs w:val="1"/>
                <w:color w:val="auto"/>
              </w:rPr>
            </w:pPr>
          </w:p>
        </w:tc>
      </w:tr>
      <w:tr>
        <w:trPr>
          <w:trHeight w:val="209"/>
        </w:trPr>
        <w:tc>
          <w:tcPr>
            <w:tcW w:w="10660" w:type="dxa"/>
            <w:vAlign w:val="bottom"/>
            <w:gridSpan w:val="6"/>
          </w:tcPr>
          <w:p>
            <w:pPr>
              <w:jc w:val="center"/>
              <w:ind w:left="41"/>
              <w:spacing w:after="0"/>
              <w:rPr>
                <w:sz w:val="20"/>
                <w:szCs w:val="20"/>
                <w:color w:val="auto"/>
              </w:rPr>
            </w:pPr>
            <w:r>
              <w:rPr>
                <w:rFonts w:ascii="Times New Roman" w:cs="Times New Roman" w:eastAsia="Times New Roman" w:hAnsi="Times New Roman"/>
                <w:sz w:val="16"/>
                <w:szCs w:val="16"/>
                <w:b w:val="1"/>
                <w:bCs w:val="1"/>
                <w:color w:val="auto"/>
                <w:w w:val="98"/>
              </w:rPr>
              <w:t>Securities registered pursuant to Section 12(b) of the Act:</w:t>
            </w:r>
          </w:p>
        </w:tc>
        <w:tc>
          <w:tcPr>
            <w:tcW w:w="0" w:type="dxa"/>
            <w:vAlign w:val="bottom"/>
          </w:tcPr>
          <w:p>
            <w:pPr>
              <w:spacing w:after="0"/>
              <w:rPr>
                <w:sz w:val="1"/>
                <w:szCs w:val="1"/>
                <w:color w:val="auto"/>
              </w:rPr>
            </w:pPr>
          </w:p>
        </w:tc>
      </w:tr>
      <w:tr>
        <w:trPr>
          <w:trHeight w:val="318"/>
        </w:trPr>
        <w:tc>
          <w:tcPr>
            <w:tcW w:w="3640" w:type="dxa"/>
            <w:vAlign w:val="bottom"/>
            <w:tcBorders>
              <w:bottom w:val="single" w:sz="8" w:color="auto"/>
            </w:tcBorders>
          </w:tcPr>
          <w:p>
            <w:pPr>
              <w:jc w:val="center"/>
              <w:ind w:left="701"/>
              <w:spacing w:after="0"/>
              <w:rPr>
                <w:sz w:val="20"/>
                <w:szCs w:val="20"/>
                <w:color w:val="auto"/>
              </w:rPr>
            </w:pPr>
            <w:r>
              <w:rPr>
                <w:rFonts w:ascii="Times New Roman" w:cs="Times New Roman" w:eastAsia="Times New Roman" w:hAnsi="Times New Roman"/>
                <w:sz w:val="16"/>
                <w:szCs w:val="16"/>
                <w:b w:val="1"/>
                <w:bCs w:val="1"/>
                <w:color w:val="auto"/>
                <w:w w:val="98"/>
              </w:rPr>
              <w:t>Title of Each Class</w:t>
            </w:r>
          </w:p>
        </w:tc>
        <w:tc>
          <w:tcPr>
            <w:tcW w:w="2680" w:type="dxa"/>
            <w:vAlign w:val="bottom"/>
            <w:tcBorders>
              <w:bottom w:val="single" w:sz="8" w:color="auto"/>
            </w:tcBorders>
            <w:gridSpan w:val="2"/>
          </w:tcPr>
          <w:p>
            <w:pPr>
              <w:jc w:val="center"/>
              <w:ind w:left="693"/>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2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c>
          <w:tcPr>
            <w:tcW w:w="0" w:type="dxa"/>
            <w:vAlign w:val="bottom"/>
          </w:tcPr>
          <w:p>
            <w:pPr>
              <w:spacing w:after="0"/>
              <w:rPr>
                <w:sz w:val="1"/>
                <w:szCs w:val="1"/>
                <w:color w:val="auto"/>
              </w:rPr>
            </w:pPr>
          </w:p>
        </w:tc>
      </w:tr>
      <w:tr>
        <w:trPr>
          <w:trHeight w:val="227"/>
        </w:trPr>
        <w:tc>
          <w:tcPr>
            <w:tcW w:w="3640" w:type="dxa"/>
            <w:vAlign w:val="bottom"/>
            <w:vMerge w:val="restart"/>
          </w:tcPr>
          <w:p>
            <w:pPr>
              <w:jc w:val="center"/>
              <w:ind w:left="701"/>
              <w:spacing w:after="0"/>
              <w:rPr>
                <w:sz w:val="20"/>
                <w:szCs w:val="20"/>
                <w:color w:val="auto"/>
              </w:rPr>
            </w:pPr>
            <w:r>
              <w:rPr>
                <w:rFonts w:ascii="Times New Roman" w:cs="Times New Roman" w:eastAsia="Times New Roman" w:hAnsi="Times New Roman"/>
                <w:sz w:val="16"/>
                <w:szCs w:val="16"/>
                <w:color w:val="auto"/>
                <w:w w:val="98"/>
              </w:rPr>
              <w:t>Common Stock, $0.01 par value per share</w:t>
            </w:r>
          </w:p>
        </w:tc>
        <w:tc>
          <w:tcPr>
            <w:tcW w:w="2680" w:type="dxa"/>
            <w:vAlign w:val="bottom"/>
            <w:gridSpan w:val="2"/>
            <w:vMerge w:val="restart"/>
          </w:tcPr>
          <w:p>
            <w:pPr>
              <w:jc w:val="center"/>
              <w:ind w:left="713"/>
              <w:spacing w:after="0"/>
              <w:rPr>
                <w:sz w:val="20"/>
                <w:szCs w:val="20"/>
                <w:color w:val="auto"/>
              </w:rPr>
            </w:pPr>
            <w:r>
              <w:rPr>
                <w:rFonts w:ascii="Times New Roman" w:cs="Times New Roman" w:eastAsia="Times New Roman" w:hAnsi="Times New Roman"/>
                <w:sz w:val="16"/>
                <w:szCs w:val="16"/>
                <w:color w:val="auto"/>
                <w:w w:val="99"/>
              </w:rPr>
              <w:t>KVHI</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340" w:type="dxa"/>
            <w:vAlign w:val="bottom"/>
          </w:tcPr>
          <w:p>
            <w:pPr>
              <w:jc w:val="center"/>
              <w:ind w:right="941"/>
              <w:spacing w:after="0"/>
              <w:rPr>
                <w:sz w:val="20"/>
                <w:szCs w:val="20"/>
                <w:color w:val="auto"/>
              </w:rPr>
            </w:pPr>
            <w:r>
              <w:rPr>
                <w:rFonts w:ascii="Times New Roman" w:cs="Times New Roman" w:eastAsia="Times New Roman" w:hAnsi="Times New Roman"/>
                <w:sz w:val="16"/>
                <w:szCs w:val="16"/>
                <w:color w:val="auto"/>
                <w:w w:val="98"/>
              </w:rPr>
              <w:t>(Nasdaq Global Select Market)</w:t>
            </w:r>
          </w:p>
        </w:tc>
        <w:tc>
          <w:tcPr>
            <w:tcW w:w="0" w:type="dxa"/>
            <w:vAlign w:val="bottom"/>
          </w:tcPr>
          <w:p>
            <w:pPr>
              <w:spacing w:after="0"/>
              <w:rPr>
                <w:sz w:val="1"/>
                <w:szCs w:val="1"/>
                <w:color w:val="auto"/>
              </w:rPr>
            </w:pPr>
          </w:p>
        </w:tc>
      </w:tr>
      <w:tr>
        <w:trPr>
          <w:trHeight w:val="105"/>
        </w:trPr>
        <w:tc>
          <w:tcPr>
            <w:tcW w:w="3640" w:type="dxa"/>
            <w:vAlign w:val="bottom"/>
            <w:vMerge w:val="continue"/>
          </w:tcPr>
          <w:p>
            <w:pPr>
              <w:spacing w:after="0"/>
              <w:rPr>
                <w:sz w:val="9"/>
                <w:szCs w:val="9"/>
                <w:color w:val="auto"/>
              </w:rPr>
            </w:pPr>
          </w:p>
        </w:tc>
        <w:tc>
          <w:tcPr>
            <w:tcW w:w="26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340" w:type="dxa"/>
            <w:vAlign w:val="bottom"/>
            <w:vMerge w:val="restart"/>
          </w:tcPr>
          <w:p>
            <w:pPr>
              <w:jc w:val="center"/>
              <w:ind w:right="941"/>
              <w:spacing w:after="0"/>
              <w:rPr>
                <w:sz w:val="20"/>
                <w:szCs w:val="20"/>
                <w:color w:val="auto"/>
              </w:rPr>
            </w:pPr>
            <w:r>
              <w:rPr>
                <w:rFonts w:ascii="Times New Roman" w:cs="Times New Roman" w:eastAsia="Times New Roman" w:hAnsi="Times New Roman"/>
                <w:sz w:val="16"/>
                <w:szCs w:val="16"/>
                <w:color w:val="auto"/>
                <w:w w:val="99"/>
              </w:rPr>
              <w:t>The Nasdaq Stock Market LLC</w:t>
            </w:r>
          </w:p>
        </w:tc>
        <w:tc>
          <w:tcPr>
            <w:tcW w:w="0" w:type="dxa"/>
            <w:vAlign w:val="bottom"/>
          </w:tcPr>
          <w:p>
            <w:pPr>
              <w:spacing w:after="0"/>
              <w:rPr>
                <w:sz w:val="1"/>
                <w:szCs w:val="1"/>
                <w:color w:val="auto"/>
              </w:rPr>
            </w:pPr>
          </w:p>
        </w:tc>
      </w:tr>
      <w:tr>
        <w:trPr>
          <w:trHeight w:val="105"/>
        </w:trPr>
        <w:tc>
          <w:tcPr>
            <w:tcW w:w="36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20"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pacing w:after="0" w:line="14" w:lineRule="exact"/>
        <w:rPr>
          <w:sz w:val="24"/>
          <w:szCs w:val="24"/>
          <w:color w:val="auto"/>
        </w:rPr>
      </w:pPr>
    </w:p>
    <w:p>
      <w:pPr>
        <w:ind w:left="24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Wingdings" w:cs="Wingdings" w:eastAsia="Wingdings" w:hAnsi="Wingdings"/>
          <w:sz w:val="16"/>
          <w:szCs w:val="16"/>
          <w:b w:val="1"/>
          <w:bCs w:val="1"/>
          <w:color w:val="auto"/>
        </w:rPr>
        <w:t>x</w:t>
      </w:r>
    </w:p>
    <w:p>
      <w:pPr>
        <w:spacing w:after="0" w:line="204" w:lineRule="exact"/>
        <w:rPr>
          <w:sz w:val="24"/>
          <w:szCs w:val="24"/>
          <w:color w:val="auto"/>
        </w:rPr>
      </w:pPr>
    </w:p>
    <w:p>
      <w:pPr>
        <w:ind w:left="24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Wingdings" w:cs="Wingdings" w:eastAsia="Wingdings" w:hAnsi="Wingdings"/>
          <w:sz w:val="16"/>
          <w:szCs w:val="16"/>
          <w:b w:val="1"/>
          <w:bCs w:val="1"/>
          <w:color w:val="auto"/>
        </w:rPr>
        <w:t>x</w:t>
      </w:r>
    </w:p>
    <w:p>
      <w:pPr>
        <w:spacing w:after="0" w:line="270" w:lineRule="exact"/>
        <w:rPr>
          <w:sz w:val="24"/>
          <w:szCs w:val="24"/>
          <w:color w:val="auto"/>
        </w:rPr>
      </w:pPr>
    </w:p>
    <w:p>
      <w:pPr>
        <w:ind w:left="240"/>
        <w:spacing w:after="0" w:line="271"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5"/>
          <w:szCs w:val="15"/>
          <w:b w:val="1"/>
          <w:bCs w:val="1"/>
          <w:color w:val="auto"/>
        </w:rPr>
        <w:t>Yes</w:t>
      </w:r>
      <w:r>
        <w:rPr>
          <w:rFonts w:ascii="Times New Roman" w:cs="Times New Roman" w:eastAsia="Times New Roman" w:hAnsi="Times New Roman"/>
          <w:sz w:val="15"/>
          <w:szCs w:val="15"/>
          <w:color w:val="auto"/>
        </w:rPr>
        <w:t xml:space="preserve">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No</w:t>
      </w:r>
    </w:p>
    <w:p>
      <w:pPr>
        <w:spacing w:after="0" w:line="1" w:lineRule="exact"/>
        <w:rPr>
          <w:sz w:val="24"/>
          <w:szCs w:val="24"/>
          <w:color w:val="auto"/>
        </w:rPr>
      </w:pPr>
    </w:p>
    <w:p>
      <w:pPr>
        <w:ind w:left="240"/>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ind w:left="24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192" w:lineRule="exact"/>
        <w:rPr>
          <w:sz w:val="24"/>
          <w:szCs w:val="24"/>
          <w:color w:val="auto"/>
        </w:rPr>
      </w:pPr>
    </w:p>
    <w:p>
      <w:pPr>
        <w:ind w:left="240" w:right="18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8" w:lineRule="exact"/>
        <w:rPr>
          <w:sz w:val="24"/>
          <w:szCs w:val="24"/>
          <w:color w:val="auto"/>
        </w:rPr>
      </w:pPr>
    </w:p>
    <w:tbl>
      <w:tblPr>
        <w:tblLayout w:type="fixed"/>
        <w:tblInd w:w="1200" w:type="dxa"/>
        <w:tblCellMar>
          <w:top w:w="0" w:type="dxa"/>
          <w:left w:w="0" w:type="dxa"/>
          <w:bottom w:w="0" w:type="dxa"/>
          <w:right w:w="0" w:type="dxa"/>
        </w:tblCellMar>
      </w:tblPr>
      <w:tr>
        <w:trPr>
          <w:trHeight w:val="210"/>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0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360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Accelerated filer</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0"/>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0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360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4"/>
        </w:trPr>
        <w:tc>
          <w:tcPr>
            <w:tcW w:w="176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360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Emerging growth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5" w:lineRule="exact"/>
        <w:rPr>
          <w:sz w:val="24"/>
          <w:szCs w:val="24"/>
          <w:color w:val="auto"/>
        </w:rPr>
      </w:pPr>
    </w:p>
    <w:p>
      <w:pPr>
        <w:ind w:left="240"/>
        <w:spacing w:after="0" w:line="286"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66" w:lineRule="exact"/>
        <w:rPr>
          <w:sz w:val="24"/>
          <w:szCs w:val="24"/>
          <w:color w:val="auto"/>
        </w:rPr>
      </w:pPr>
    </w:p>
    <w:p>
      <w:pPr>
        <w:ind w:left="240"/>
        <w:spacing w:after="0" w:line="22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83" w:lineRule="exact"/>
        <w:rPr>
          <w:sz w:val="24"/>
          <w:szCs w:val="24"/>
          <w:color w:val="auto"/>
        </w:rPr>
      </w:pPr>
    </w:p>
    <w:p>
      <w:pPr>
        <w:ind w:left="240"/>
        <w:spacing w:after="0" w:line="224"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70" w:lineRule="exact"/>
        <w:rPr>
          <w:sz w:val="24"/>
          <w:szCs w:val="24"/>
          <w:color w:val="auto"/>
        </w:rPr>
      </w:pPr>
    </w:p>
    <w:p>
      <w:pPr>
        <w:ind w:left="240"/>
        <w:spacing w:after="0" w:line="224"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54" w:lineRule="exact"/>
        <w:rPr>
          <w:sz w:val="24"/>
          <w:szCs w:val="24"/>
          <w:color w:val="auto"/>
        </w:rPr>
      </w:pPr>
    </w:p>
    <w:p>
      <w:pPr>
        <w:ind w:left="240"/>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Wingdings" w:cs="Wingdings" w:eastAsia="Wingdings" w:hAnsi="Wingdings"/>
          <w:sz w:val="16"/>
          <w:szCs w:val="16"/>
          <w:b w:val="1"/>
          <w:bCs w:val="1"/>
          <w:color w:val="auto"/>
        </w:rPr>
        <w:t>x</w:t>
      </w:r>
    </w:p>
    <w:p>
      <w:pPr>
        <w:spacing w:after="0" w:line="294" w:lineRule="exact"/>
        <w:rPr>
          <w:sz w:val="24"/>
          <w:szCs w:val="24"/>
          <w:color w:val="auto"/>
        </w:rPr>
      </w:pPr>
    </w:p>
    <w:p>
      <w:pPr>
        <w:ind w:left="240"/>
        <w:spacing w:after="0" w:line="269" w:lineRule="auto"/>
        <w:rPr>
          <w:sz w:val="20"/>
          <w:szCs w:val="20"/>
          <w:color w:val="auto"/>
        </w:rPr>
      </w:pPr>
      <w:r>
        <w:rPr>
          <w:rFonts w:ascii="Times New Roman" w:cs="Times New Roman" w:eastAsia="Times New Roman" w:hAnsi="Times New Roman"/>
          <w:sz w:val="16"/>
          <w:szCs w:val="16"/>
          <w:color w:val="auto"/>
        </w:rPr>
        <w:t>As of June 30, 2023, the aggregate market value of the registrant’s common stock held by non-affiliates of the registrant was $142,726,209 based on the closing sale price of $9.14 per share as reported on the Nasdaq Global Select Market. Shares of common stock held by executive officers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0" w:lineRule="exact"/>
        <w:rPr>
          <w:sz w:val="20"/>
          <w:szCs w:val="20"/>
          <w:color w:val="auto"/>
        </w:rPr>
      </w:pPr>
    </w:p>
    <w:p>
      <w:pPr>
        <w:ind w:left="240"/>
        <w:spacing w:after="0" w:line="269" w:lineRule="auto"/>
        <w:rPr>
          <w:sz w:val="20"/>
          <w:szCs w:val="20"/>
          <w:color w:val="auto"/>
        </w:rPr>
      </w:pPr>
      <w:r>
        <w:rPr>
          <w:rFonts w:ascii="Times New Roman" w:cs="Times New Roman" w:eastAsia="Times New Roman" w:hAnsi="Times New Roman"/>
          <w:sz w:val="16"/>
          <w:szCs w:val="16"/>
          <w:color w:val="auto"/>
        </w:rPr>
        <w:t>directors of the registrant and their affiliates have been excluded from this calculation because such persons may be deemed affiliates. As of March 1, 2024, the registrant had 19,645,946 shares of common stock outstanding.</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Portions of the registrant’s Proxy Statement relating to its 2024 Annual Meeting of Stockholders are incorporated herein by reference in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351790</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370205</wp:posOffset>
            </wp:positionH>
            <wp:positionV relativeFrom="paragraph">
              <wp:posOffset>106045</wp:posOffset>
            </wp:positionV>
            <wp:extent cx="6409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09690" cy="8255"/>
                    </a:xfrm>
                    <a:prstGeom prst="rect">
                      <a:avLst/>
                    </a:prstGeom>
                    <a:noFill/>
                  </pic:spPr>
                </pic:pic>
              </a:graphicData>
            </a:graphic>
          </wp:anchor>
        </w:drawing>
        <w:drawing>
          <wp:anchor simplePos="0" relativeHeight="251657728" behindDoc="1" locked="0" layoutInCell="0" allowOverlap="1">
            <wp:simplePos x="0" y="0"/>
            <wp:positionH relativeFrom="column">
              <wp:posOffset>370205</wp:posOffset>
            </wp:positionH>
            <wp:positionV relativeFrom="paragraph">
              <wp:posOffset>72390</wp:posOffset>
            </wp:positionV>
            <wp:extent cx="6409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0969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760" w:type="dxa"/>
            <w:vAlign w:val="bottom"/>
            <w:gridSpan w:val="13"/>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w w:val="96"/>
              </w:rPr>
              <w:t>INDEX TO FORM 10-K</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6"/>
        </w:trPr>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78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76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4780" w:type="dxa"/>
            <w:vAlign w:val="bottom"/>
            <w:gridSpan w:val="9"/>
            <w:vMerge w:val="restart"/>
          </w:tcPr>
          <w:p>
            <w:pPr>
              <w:jc w:val="center"/>
              <w:ind w:right="4220"/>
              <w:spacing w:after="0"/>
              <w:rPr>
                <w:sz w:val="20"/>
                <w:szCs w:val="20"/>
                <w:color w:val="auto"/>
              </w:rPr>
            </w:pPr>
            <w:r>
              <w:rPr>
                <w:rFonts w:ascii="Times New Roman" w:cs="Times New Roman" w:eastAsia="Times New Roman" w:hAnsi="Times New Roman"/>
                <w:sz w:val="18"/>
                <w:szCs w:val="18"/>
                <w:b w:val="1"/>
                <w:bCs w:val="1"/>
                <w:color w:val="0000FF"/>
                <w:w w:val="92"/>
              </w:rPr>
              <w:t>PART I</w:t>
            </w: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4780" w:type="dxa"/>
            <w:vAlign w:val="bottom"/>
            <w:gridSpan w:val="9"/>
            <w:vMerge w:val="continue"/>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42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Business</w:t>
            </w:r>
          </w:p>
        </w:tc>
        <w:tc>
          <w:tcPr>
            <w:tcW w:w="560" w:type="dxa"/>
            <w:vAlign w:val="bottom"/>
            <w:tcBorders>
              <w:top w:val="single" w:sz="8" w:color="0000FF"/>
            </w:tcBorders>
          </w:tcPr>
          <w:p>
            <w:pPr>
              <w:spacing w:after="0"/>
              <w:rPr>
                <w:sz w:val="22"/>
                <w:szCs w:val="22"/>
                <w:color w:val="auto"/>
              </w:rPr>
            </w:pPr>
          </w:p>
        </w:tc>
        <w:tc>
          <w:tcPr>
            <w:tcW w:w="4220" w:type="dxa"/>
            <w:vAlign w:val="bottom"/>
            <w:gridSpan w:val="8"/>
          </w:tcPr>
          <w:p>
            <w:pPr>
              <w:spacing w:after="0"/>
              <w:rPr>
                <w:sz w:val="22"/>
                <w:szCs w:val="22"/>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Item 1A.</w:t>
            </w:r>
          </w:p>
        </w:tc>
        <w:tc>
          <w:tcPr>
            <w:tcW w:w="9000" w:type="dxa"/>
            <w:vAlign w:val="bottom"/>
            <w:gridSpan w:val="25"/>
          </w:tcPr>
          <w:p>
            <w:pPr>
              <w:spacing w:after="0" w:line="203" w:lineRule="exact"/>
              <w:rPr>
                <w:sz w:val="20"/>
                <w:szCs w:val="20"/>
                <w:color w:val="auto"/>
              </w:rPr>
            </w:pPr>
            <w:r>
              <w:rPr>
                <w:rFonts w:ascii="Times New Roman" w:cs="Times New Roman" w:eastAsia="Times New Roman" w:hAnsi="Times New Roman"/>
                <w:sz w:val="18"/>
                <w:szCs w:val="18"/>
                <w:color w:val="0000FF"/>
              </w:rPr>
              <w:t>Risk Factors</w:t>
            </w:r>
          </w:p>
        </w:tc>
        <w:tc>
          <w:tcPr>
            <w:tcW w:w="11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0000FF"/>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Item 1B.</w:t>
            </w:r>
          </w:p>
        </w:tc>
        <w:tc>
          <w:tcPr>
            <w:tcW w:w="2000" w:type="dxa"/>
            <w:vAlign w:val="bottom"/>
            <w:gridSpan w:val="9"/>
          </w:tcPr>
          <w:p>
            <w:pPr>
              <w:spacing w:after="0" w:line="203" w:lineRule="exact"/>
              <w:rPr>
                <w:sz w:val="20"/>
                <w:szCs w:val="20"/>
                <w:color w:val="auto"/>
              </w:rPr>
            </w:pPr>
            <w:r>
              <w:rPr>
                <w:rFonts w:ascii="Times New Roman" w:cs="Times New Roman" w:eastAsia="Times New Roman" w:hAnsi="Times New Roman"/>
                <w:sz w:val="18"/>
                <w:szCs w:val="18"/>
                <w:color w:val="0000FF"/>
                <w:w w:val="96"/>
              </w:rPr>
              <w:t>Unresolved Staff Comments</w:t>
            </w:r>
          </w:p>
        </w:tc>
        <w:tc>
          <w:tcPr>
            <w:tcW w:w="7000" w:type="dxa"/>
            <w:vAlign w:val="bottom"/>
            <w:gridSpan w:val="16"/>
          </w:tcPr>
          <w:p>
            <w:pPr>
              <w:spacing w:after="0"/>
              <w:rPr>
                <w:sz w:val="17"/>
                <w:szCs w:val="17"/>
                <w:color w:val="auto"/>
              </w:rPr>
            </w:pPr>
          </w:p>
        </w:tc>
        <w:tc>
          <w:tcPr>
            <w:tcW w:w="11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Item 1C.</w:t>
            </w:r>
          </w:p>
        </w:tc>
        <w:tc>
          <w:tcPr>
            <w:tcW w:w="2000" w:type="dxa"/>
            <w:vAlign w:val="bottom"/>
            <w:gridSpan w:val="9"/>
          </w:tcPr>
          <w:p>
            <w:pPr>
              <w:spacing w:after="0" w:line="203" w:lineRule="exact"/>
              <w:rPr>
                <w:sz w:val="20"/>
                <w:szCs w:val="20"/>
                <w:color w:val="auto"/>
              </w:rPr>
            </w:pPr>
            <w:r>
              <w:rPr>
                <w:rFonts w:ascii="Times New Roman" w:cs="Times New Roman" w:eastAsia="Times New Roman" w:hAnsi="Times New Roman"/>
                <w:sz w:val="18"/>
                <w:szCs w:val="18"/>
                <w:color w:val="0000FF"/>
              </w:rPr>
              <w:t>Cybersecurity</w:t>
            </w:r>
          </w:p>
        </w:tc>
        <w:tc>
          <w:tcPr>
            <w:tcW w:w="7000" w:type="dxa"/>
            <w:vAlign w:val="bottom"/>
            <w:gridSpan w:val="16"/>
          </w:tcPr>
          <w:p>
            <w:pPr>
              <w:spacing w:after="0"/>
              <w:rPr>
                <w:sz w:val="17"/>
                <w:szCs w:val="17"/>
                <w:color w:val="auto"/>
              </w:rPr>
            </w:pPr>
          </w:p>
        </w:tc>
        <w:tc>
          <w:tcPr>
            <w:tcW w:w="11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Item 2.</w:t>
            </w:r>
          </w:p>
        </w:tc>
        <w:tc>
          <w:tcPr>
            <w:tcW w:w="66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0000FF"/>
                <w:w w:val="84"/>
              </w:rPr>
              <w:t>Properties</w:t>
            </w:r>
          </w:p>
        </w:tc>
        <w:tc>
          <w:tcPr>
            <w:tcW w:w="320" w:type="dxa"/>
            <w:vAlign w:val="bottom"/>
            <w:gridSpan w:val="2"/>
          </w:tcPr>
          <w:p>
            <w:pPr>
              <w:spacing w:after="0"/>
              <w:rPr>
                <w:sz w:val="17"/>
                <w:szCs w:val="17"/>
                <w:color w:val="auto"/>
              </w:rPr>
            </w:pPr>
          </w:p>
        </w:tc>
        <w:tc>
          <w:tcPr>
            <w:tcW w:w="8020" w:type="dxa"/>
            <w:vAlign w:val="bottom"/>
            <w:gridSpan w:val="21"/>
          </w:tcPr>
          <w:p>
            <w:pPr>
              <w:spacing w:after="0"/>
              <w:rPr>
                <w:sz w:val="17"/>
                <w:szCs w:val="17"/>
                <w:color w:val="auto"/>
              </w:rPr>
            </w:pPr>
          </w:p>
        </w:tc>
        <w:tc>
          <w:tcPr>
            <w:tcW w:w="11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Item 3.</w:t>
            </w:r>
          </w:p>
        </w:tc>
        <w:tc>
          <w:tcPr>
            <w:tcW w:w="9000" w:type="dxa"/>
            <w:vAlign w:val="bottom"/>
            <w:gridSpan w:val="25"/>
          </w:tcPr>
          <w:p>
            <w:pPr>
              <w:spacing w:after="0" w:line="203" w:lineRule="exact"/>
              <w:rPr>
                <w:sz w:val="20"/>
                <w:szCs w:val="20"/>
                <w:color w:val="auto"/>
              </w:rPr>
            </w:pPr>
            <w:r>
              <w:rPr>
                <w:rFonts w:ascii="Times New Roman" w:cs="Times New Roman" w:eastAsia="Times New Roman" w:hAnsi="Times New Roman"/>
                <w:sz w:val="18"/>
                <w:szCs w:val="18"/>
                <w:color w:val="0000FF"/>
              </w:rPr>
              <w:t>Legal Proceedings</w:t>
            </w:r>
          </w:p>
        </w:tc>
        <w:tc>
          <w:tcPr>
            <w:tcW w:w="11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Item 4.</w:t>
            </w:r>
          </w:p>
        </w:tc>
        <w:tc>
          <w:tcPr>
            <w:tcW w:w="9000" w:type="dxa"/>
            <w:vAlign w:val="bottom"/>
            <w:gridSpan w:val="25"/>
          </w:tcPr>
          <w:p>
            <w:pPr>
              <w:spacing w:after="0" w:line="203" w:lineRule="exact"/>
              <w:rPr>
                <w:sz w:val="20"/>
                <w:szCs w:val="20"/>
                <w:color w:val="auto"/>
              </w:rPr>
            </w:pPr>
            <w:r>
              <w:rPr>
                <w:rFonts w:ascii="Times New Roman" w:cs="Times New Roman" w:eastAsia="Times New Roman" w:hAnsi="Times New Roman"/>
                <w:sz w:val="18"/>
                <w:szCs w:val="18"/>
                <w:color w:val="auto"/>
              </w:rPr>
              <w:t>Mine Safety Disclosures</w:t>
            </w:r>
          </w:p>
        </w:tc>
        <w:tc>
          <w:tcPr>
            <w:tcW w:w="11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Borders>
              <w:bottom w:val="single" w:sz="8" w:color="0000FF"/>
            </w:tcBorders>
            <w:gridSpan w:val="3"/>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0000FF"/>
                <w:w w:val="94"/>
              </w:rPr>
              <w:t>PART II</w:t>
            </w:r>
          </w:p>
        </w:tc>
        <w:tc>
          <w:tcPr>
            <w:tcW w:w="4180" w:type="dxa"/>
            <w:vAlign w:val="bottom"/>
            <w:gridSpan w:val="7"/>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0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Item 6.</w:t>
            </w:r>
          </w:p>
        </w:tc>
        <w:tc>
          <w:tcPr>
            <w:tcW w:w="66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0000FF"/>
                <w:w w:val="92"/>
              </w:rPr>
              <w:t>Reserved</w:t>
            </w:r>
          </w:p>
        </w:tc>
        <w:tc>
          <w:tcPr>
            <w:tcW w:w="7200" w:type="dxa"/>
            <w:vAlign w:val="bottom"/>
            <w:gridSpan w:val="22"/>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Item 7.</w:t>
            </w:r>
          </w:p>
        </w:tc>
        <w:tc>
          <w:tcPr>
            <w:tcW w:w="6300" w:type="dxa"/>
            <w:vAlign w:val="bottom"/>
            <w:gridSpan w:val="22"/>
          </w:tcPr>
          <w:p>
            <w:pPr>
              <w:spacing w:after="0" w:line="203" w:lineRule="exact"/>
              <w:rPr>
                <w:sz w:val="20"/>
                <w:szCs w:val="20"/>
                <w:color w:val="auto"/>
              </w:rPr>
            </w:pPr>
            <w:r>
              <w:rPr>
                <w:rFonts w:ascii="Times New Roman" w:cs="Times New Roman" w:eastAsia="Times New Roman" w:hAnsi="Times New Roman"/>
                <w:sz w:val="18"/>
                <w:szCs w:val="18"/>
                <w:color w:val="0000FF"/>
                <w:w w:val="96"/>
              </w:rPr>
              <w:t>Management’s Discussion and Analysis of Financial Condition and Results of Operations</w:t>
            </w:r>
          </w:p>
        </w:tc>
        <w:tc>
          <w:tcPr>
            <w:tcW w:w="2700" w:type="dxa"/>
            <w:vAlign w:val="bottom"/>
            <w:gridSpan w:val="3"/>
          </w:tcPr>
          <w:p>
            <w:pPr>
              <w:spacing w:after="0"/>
              <w:rPr>
                <w:sz w:val="17"/>
                <w:szCs w:val="17"/>
                <w:color w:val="auto"/>
              </w:rPr>
            </w:pPr>
          </w:p>
        </w:tc>
        <w:tc>
          <w:tcPr>
            <w:tcW w:w="11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Item 7A.</w:t>
            </w:r>
          </w:p>
        </w:tc>
        <w:tc>
          <w:tcPr>
            <w:tcW w:w="6300" w:type="dxa"/>
            <w:vAlign w:val="bottom"/>
            <w:gridSpan w:val="22"/>
          </w:tcPr>
          <w:p>
            <w:pPr>
              <w:spacing w:after="0" w:line="203" w:lineRule="exact"/>
              <w:rPr>
                <w:sz w:val="20"/>
                <w:szCs w:val="20"/>
                <w:color w:val="auto"/>
              </w:rPr>
            </w:pPr>
            <w:r>
              <w:rPr>
                <w:rFonts w:ascii="Times New Roman" w:cs="Times New Roman" w:eastAsia="Times New Roman" w:hAnsi="Times New Roman"/>
                <w:sz w:val="18"/>
                <w:szCs w:val="18"/>
                <w:color w:val="0000FF"/>
              </w:rPr>
              <w:t>Quantitative and Qualitative Disclosure About Market Risk</w:t>
            </w:r>
          </w:p>
        </w:tc>
        <w:tc>
          <w:tcPr>
            <w:tcW w:w="2700" w:type="dxa"/>
            <w:vAlign w:val="bottom"/>
            <w:gridSpan w:val="3"/>
          </w:tcPr>
          <w:p>
            <w:pPr>
              <w:spacing w:after="0"/>
              <w:rPr>
                <w:sz w:val="17"/>
                <w:szCs w:val="17"/>
                <w:color w:val="auto"/>
              </w:rPr>
            </w:pPr>
          </w:p>
        </w:tc>
        <w:tc>
          <w:tcPr>
            <w:tcW w:w="11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Item 8.</w:t>
            </w:r>
          </w:p>
        </w:tc>
        <w:tc>
          <w:tcPr>
            <w:tcW w:w="4180" w:type="dxa"/>
            <w:vAlign w:val="bottom"/>
            <w:gridSpan w:val="15"/>
          </w:tcPr>
          <w:p>
            <w:pPr>
              <w:spacing w:after="0" w:line="203"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820" w:type="dxa"/>
            <w:vAlign w:val="bottom"/>
            <w:gridSpan w:val="10"/>
          </w:tcPr>
          <w:p>
            <w:pPr>
              <w:spacing w:after="0"/>
              <w:rPr>
                <w:sz w:val="17"/>
                <w:szCs w:val="17"/>
                <w:color w:val="auto"/>
              </w:rPr>
            </w:pPr>
          </w:p>
        </w:tc>
        <w:tc>
          <w:tcPr>
            <w:tcW w:w="11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Item 9.</w:t>
            </w:r>
          </w:p>
        </w:tc>
        <w:tc>
          <w:tcPr>
            <w:tcW w:w="6300" w:type="dxa"/>
            <w:vAlign w:val="bottom"/>
            <w:gridSpan w:val="22"/>
          </w:tcPr>
          <w:p>
            <w:pPr>
              <w:spacing w:after="0" w:line="203" w:lineRule="exact"/>
              <w:rPr>
                <w:sz w:val="20"/>
                <w:szCs w:val="20"/>
                <w:color w:val="auto"/>
              </w:rPr>
            </w:pPr>
            <w:r>
              <w:rPr>
                <w:rFonts w:ascii="Times New Roman" w:cs="Times New Roman" w:eastAsia="Times New Roman" w:hAnsi="Times New Roman"/>
                <w:sz w:val="18"/>
                <w:szCs w:val="18"/>
                <w:color w:val="0000FF"/>
                <w:w w:val="96"/>
              </w:rPr>
              <w:t>Changes in and Disagreements with Accountants on Accounting and Financial Disclosure</w:t>
            </w:r>
          </w:p>
        </w:tc>
        <w:tc>
          <w:tcPr>
            <w:tcW w:w="2700" w:type="dxa"/>
            <w:vAlign w:val="bottom"/>
            <w:gridSpan w:val="3"/>
          </w:tcPr>
          <w:p>
            <w:pPr>
              <w:spacing w:after="0"/>
              <w:rPr>
                <w:sz w:val="17"/>
                <w:szCs w:val="17"/>
                <w:color w:val="auto"/>
              </w:rPr>
            </w:pPr>
          </w:p>
        </w:tc>
        <w:tc>
          <w:tcPr>
            <w:tcW w:w="11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Item 9A.</w:t>
            </w:r>
          </w:p>
        </w:tc>
        <w:tc>
          <w:tcPr>
            <w:tcW w:w="6300" w:type="dxa"/>
            <w:vAlign w:val="bottom"/>
            <w:gridSpan w:val="22"/>
          </w:tcPr>
          <w:p>
            <w:pPr>
              <w:spacing w:after="0" w:line="203" w:lineRule="exact"/>
              <w:rPr>
                <w:sz w:val="20"/>
                <w:szCs w:val="20"/>
                <w:color w:val="auto"/>
              </w:rPr>
            </w:pPr>
            <w:r>
              <w:rPr>
                <w:rFonts w:ascii="Times New Roman" w:cs="Times New Roman" w:eastAsia="Times New Roman" w:hAnsi="Times New Roman"/>
                <w:sz w:val="18"/>
                <w:szCs w:val="18"/>
                <w:color w:val="0000FF"/>
              </w:rPr>
              <w:t>Controls and Procedures</w:t>
            </w:r>
          </w:p>
        </w:tc>
        <w:tc>
          <w:tcPr>
            <w:tcW w:w="2700" w:type="dxa"/>
            <w:vAlign w:val="bottom"/>
            <w:gridSpan w:val="3"/>
          </w:tcPr>
          <w:p>
            <w:pPr>
              <w:spacing w:after="0"/>
              <w:rPr>
                <w:sz w:val="17"/>
                <w:szCs w:val="17"/>
                <w:color w:val="auto"/>
              </w:rPr>
            </w:pPr>
          </w:p>
        </w:tc>
        <w:tc>
          <w:tcPr>
            <w:tcW w:w="11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Item 9B.</w:t>
            </w:r>
          </w:p>
        </w:tc>
        <w:tc>
          <w:tcPr>
            <w:tcW w:w="1720" w:type="dxa"/>
            <w:vAlign w:val="bottom"/>
            <w:gridSpan w:val="7"/>
          </w:tcPr>
          <w:p>
            <w:pPr>
              <w:spacing w:after="0" w:line="203" w:lineRule="exact"/>
              <w:rPr>
                <w:sz w:val="20"/>
                <w:szCs w:val="20"/>
                <w:color w:val="auto"/>
              </w:rPr>
            </w:pPr>
            <w:r>
              <w:rPr>
                <w:rFonts w:ascii="Times New Roman" w:cs="Times New Roman" w:eastAsia="Times New Roman" w:hAnsi="Times New Roman"/>
                <w:sz w:val="18"/>
                <w:szCs w:val="18"/>
                <w:color w:val="0000FF"/>
              </w:rPr>
              <w:t>Other Information</w:t>
            </w:r>
          </w:p>
        </w:tc>
        <w:tc>
          <w:tcPr>
            <w:tcW w:w="7280" w:type="dxa"/>
            <w:vAlign w:val="bottom"/>
            <w:gridSpan w:val="18"/>
          </w:tcPr>
          <w:p>
            <w:pPr>
              <w:spacing w:after="0"/>
              <w:rPr>
                <w:sz w:val="17"/>
                <w:szCs w:val="17"/>
                <w:color w:val="auto"/>
              </w:rPr>
            </w:pPr>
          </w:p>
        </w:tc>
        <w:tc>
          <w:tcPr>
            <w:tcW w:w="11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0000FF"/>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Item 9C.</w:t>
            </w:r>
          </w:p>
        </w:tc>
        <w:tc>
          <w:tcPr>
            <w:tcW w:w="4780" w:type="dxa"/>
            <w:vAlign w:val="bottom"/>
            <w:gridSpan w:val="17"/>
          </w:tcPr>
          <w:p>
            <w:pPr>
              <w:spacing w:after="0" w:line="203" w:lineRule="exact"/>
              <w:rPr>
                <w:sz w:val="20"/>
                <w:szCs w:val="20"/>
                <w:color w:val="auto"/>
              </w:rPr>
            </w:pPr>
            <w:r>
              <w:rPr>
                <w:rFonts w:ascii="Times New Roman" w:cs="Times New Roman" w:eastAsia="Times New Roman" w:hAnsi="Times New Roman"/>
                <w:sz w:val="18"/>
                <w:szCs w:val="18"/>
                <w:color w:val="0000FF"/>
                <w:w w:val="97"/>
              </w:rPr>
              <w:t>Disclosure Regarding Foreign Jurisdictions that Prevent Inspections</w:t>
            </w:r>
          </w:p>
        </w:tc>
        <w:tc>
          <w:tcPr>
            <w:tcW w:w="4220" w:type="dxa"/>
            <w:vAlign w:val="bottom"/>
            <w:gridSpan w:val="8"/>
          </w:tcPr>
          <w:p>
            <w:pPr>
              <w:spacing w:after="0"/>
              <w:rPr>
                <w:sz w:val="17"/>
                <w:szCs w:val="17"/>
                <w:color w:val="auto"/>
              </w:rPr>
            </w:pPr>
          </w:p>
        </w:tc>
        <w:tc>
          <w:tcPr>
            <w:tcW w:w="11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0000FF"/>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Borders>
              <w:bottom w:val="single" w:sz="8" w:color="0000FF"/>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4140" w:type="dxa"/>
            <w:vAlign w:val="bottom"/>
            <w:gridSpan w:val="5"/>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10.</w:t>
            </w:r>
          </w:p>
        </w:tc>
        <w:tc>
          <w:tcPr>
            <w:tcW w:w="40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7"/>
              </w:rPr>
              <w:t>Directors, Executive Officers and Corporate Governance</w:t>
            </w:r>
          </w:p>
        </w:tc>
        <w:tc>
          <w:tcPr>
            <w:tcW w:w="5000" w:type="dxa"/>
            <w:vAlign w:val="bottom"/>
            <w:gridSpan w:val="12"/>
          </w:tcPr>
          <w:p>
            <w:pPr>
              <w:spacing w:after="0"/>
              <w:rPr>
                <w:sz w:val="22"/>
                <w:szCs w:val="22"/>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Item 11.</w:t>
            </w:r>
          </w:p>
        </w:tc>
        <w:tc>
          <w:tcPr>
            <w:tcW w:w="4000" w:type="dxa"/>
            <w:vAlign w:val="bottom"/>
            <w:gridSpan w:val="13"/>
          </w:tcPr>
          <w:p>
            <w:pPr>
              <w:spacing w:after="0" w:line="203" w:lineRule="exact"/>
              <w:rPr>
                <w:sz w:val="20"/>
                <w:szCs w:val="20"/>
                <w:color w:val="auto"/>
              </w:rPr>
            </w:pPr>
            <w:r>
              <w:rPr>
                <w:rFonts w:ascii="Times New Roman" w:cs="Times New Roman" w:eastAsia="Times New Roman" w:hAnsi="Times New Roman"/>
                <w:sz w:val="18"/>
                <w:szCs w:val="18"/>
                <w:color w:val="0000FF"/>
              </w:rPr>
              <w:t>Executive Compensation</w:t>
            </w:r>
          </w:p>
        </w:tc>
        <w:tc>
          <w:tcPr>
            <w:tcW w:w="5000" w:type="dxa"/>
            <w:vAlign w:val="bottom"/>
            <w:gridSpan w:val="12"/>
          </w:tcPr>
          <w:p>
            <w:pPr>
              <w:spacing w:after="0"/>
              <w:rPr>
                <w:sz w:val="17"/>
                <w:szCs w:val="17"/>
                <w:color w:val="auto"/>
              </w:rPr>
            </w:pPr>
          </w:p>
        </w:tc>
        <w:tc>
          <w:tcPr>
            <w:tcW w:w="11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0000FF"/>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Item 12.</w:t>
            </w:r>
          </w:p>
        </w:tc>
        <w:tc>
          <w:tcPr>
            <w:tcW w:w="9000" w:type="dxa"/>
            <w:vAlign w:val="bottom"/>
            <w:gridSpan w:val="25"/>
          </w:tcPr>
          <w:p>
            <w:pPr>
              <w:spacing w:after="0" w:line="203"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1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0000FF"/>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Item 13.</w:t>
            </w:r>
          </w:p>
        </w:tc>
        <w:tc>
          <w:tcPr>
            <w:tcW w:w="7100" w:type="dxa"/>
            <w:vAlign w:val="bottom"/>
            <w:gridSpan w:val="23"/>
          </w:tcPr>
          <w:p>
            <w:pPr>
              <w:spacing w:after="0" w:line="203"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900" w:type="dxa"/>
            <w:vAlign w:val="bottom"/>
            <w:gridSpan w:val="2"/>
          </w:tcPr>
          <w:p>
            <w:pPr>
              <w:spacing w:after="0"/>
              <w:rPr>
                <w:sz w:val="17"/>
                <w:szCs w:val="17"/>
                <w:color w:val="auto"/>
              </w:rPr>
            </w:pPr>
          </w:p>
        </w:tc>
        <w:tc>
          <w:tcPr>
            <w:tcW w:w="11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0000FF"/>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gridSpan w:val="4"/>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74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Item 14.</w:t>
            </w:r>
          </w:p>
        </w:tc>
        <w:tc>
          <w:tcPr>
            <w:tcW w:w="5260" w:type="dxa"/>
            <w:vAlign w:val="bottom"/>
            <w:gridSpan w:val="21"/>
          </w:tcPr>
          <w:p>
            <w:pPr>
              <w:spacing w:after="0" w:line="203"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3740" w:type="dxa"/>
            <w:vAlign w:val="bottom"/>
            <w:gridSpan w:val="4"/>
          </w:tcPr>
          <w:p>
            <w:pPr>
              <w:spacing w:after="0"/>
              <w:rPr>
                <w:sz w:val="17"/>
                <w:szCs w:val="17"/>
                <w:color w:val="auto"/>
              </w:rPr>
            </w:pPr>
          </w:p>
        </w:tc>
        <w:tc>
          <w:tcPr>
            <w:tcW w:w="11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0000FF"/>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20" w:type="dxa"/>
            <w:vAlign w:val="bottom"/>
            <w:gridSpan w:val="10"/>
          </w:tcPr>
          <w:p>
            <w:pPr>
              <w:jc w:val="center"/>
              <w:ind w:right="4160"/>
              <w:spacing w:after="0"/>
              <w:rPr>
                <w:sz w:val="20"/>
                <w:szCs w:val="20"/>
                <w:color w:val="auto"/>
              </w:rPr>
            </w:pPr>
            <w:r>
              <w:rPr>
                <w:rFonts w:ascii="Times New Roman" w:cs="Times New Roman" w:eastAsia="Times New Roman" w:hAnsi="Times New Roman"/>
                <w:sz w:val="18"/>
                <w:szCs w:val="18"/>
                <w:b w:val="1"/>
                <w:bCs w:val="1"/>
                <w:color w:val="0000FF"/>
                <w:w w:val="89"/>
              </w:rPr>
              <w:t>PART IV</w:t>
            </w:r>
          </w:p>
        </w:tc>
        <w:tc>
          <w:tcPr>
            <w:tcW w:w="9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15.</w:t>
            </w:r>
          </w:p>
        </w:tc>
        <w:tc>
          <w:tcPr>
            <w:tcW w:w="41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660" w:type="dxa"/>
            <w:vAlign w:val="bottom"/>
            <w:tcBorders>
              <w:top w:val="single" w:sz="8" w:color="0000FF"/>
            </w:tcBorders>
            <w:gridSpan w:val="4"/>
          </w:tcPr>
          <w:p>
            <w:pPr>
              <w:spacing w:after="0"/>
              <w:rPr>
                <w:sz w:val="22"/>
                <w:szCs w:val="22"/>
                <w:color w:val="auto"/>
              </w:rPr>
            </w:pPr>
          </w:p>
        </w:tc>
        <w:tc>
          <w:tcPr>
            <w:tcW w:w="4160" w:type="dxa"/>
            <w:vAlign w:val="bottom"/>
            <w:gridSpan w:val="6"/>
          </w:tcPr>
          <w:p>
            <w:pPr>
              <w:spacing w:after="0"/>
              <w:rPr>
                <w:sz w:val="22"/>
                <w:szCs w:val="22"/>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Item 16.</w:t>
            </w:r>
          </w:p>
        </w:tc>
        <w:tc>
          <w:tcPr>
            <w:tcW w:w="3080" w:type="dxa"/>
            <w:vAlign w:val="bottom"/>
            <w:tcBorders>
              <w:top w:val="single" w:sz="8" w:color="0000FF"/>
            </w:tcBorders>
            <w:gridSpan w:val="11"/>
          </w:tcPr>
          <w:p>
            <w:pPr>
              <w:spacing w:after="0" w:line="203" w:lineRule="exact"/>
              <w:rPr>
                <w:sz w:val="20"/>
                <w:szCs w:val="20"/>
                <w:color w:val="auto"/>
              </w:rPr>
            </w:pPr>
            <w:r>
              <w:rPr>
                <w:rFonts w:ascii="Times New Roman" w:cs="Times New Roman" w:eastAsia="Times New Roman" w:hAnsi="Times New Roman"/>
                <w:sz w:val="18"/>
                <w:szCs w:val="18"/>
                <w:color w:val="0000FF"/>
              </w:rPr>
              <w:t>Form 10-K Summary</w:t>
            </w:r>
          </w:p>
        </w:tc>
        <w:tc>
          <w:tcPr>
            <w:tcW w:w="5920" w:type="dxa"/>
            <w:vAlign w:val="bottom"/>
            <w:gridSpan w:val="14"/>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0000FF"/>
              </w:rPr>
              <w:t>Signatures</w:t>
            </w:r>
          </w:p>
        </w:tc>
        <w:tc>
          <w:tcPr>
            <w:tcW w:w="6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0000FF"/>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60"/>
        </w:trPr>
        <w:tc>
          <w:tcPr>
            <w:tcW w:w="40" w:type="dxa"/>
            <w:vAlign w:val="bottom"/>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4780" w:type="dxa"/>
            <w:vAlign w:val="bottom"/>
            <w:gridSpan w:val="17"/>
          </w:tcPr>
          <w:p>
            <w:pPr>
              <w:jc w:val="center"/>
              <w:ind w:left="4132"/>
              <w:spacing w:after="0"/>
              <w:rPr>
                <w:sz w:val="20"/>
                <w:szCs w:val="20"/>
                <w:color w:val="auto"/>
              </w:rPr>
            </w:pPr>
            <w:r>
              <w:rPr>
                <w:rFonts w:ascii="Times New Roman" w:cs="Times New Roman" w:eastAsia="Times New Roman" w:hAnsi="Times New Roman"/>
                <w:sz w:val="18"/>
                <w:szCs w:val="18"/>
                <w:color w:val="auto"/>
                <w:w w:val="88"/>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PART I</w:t>
      </w:r>
    </w:p>
    <w:p>
      <w:pPr>
        <w:spacing w:after="0" w:line="48"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107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242" w:lineRule="exact"/>
        <w:rPr>
          <w:sz w:val="20"/>
          <w:szCs w:val="20"/>
          <w:color w:val="auto"/>
        </w:rPr>
      </w:pPr>
    </w:p>
    <w:p>
      <w:pPr>
        <w:jc w:val="both"/>
        <w:ind w:firstLine="473"/>
        <w:spacing w:after="0" w:line="248" w:lineRule="auto"/>
        <w:rPr>
          <w:sz w:val="20"/>
          <w:szCs w:val="20"/>
          <w:color w:val="auto"/>
        </w:rPr>
      </w:pPr>
      <w:r>
        <w:rPr>
          <w:rFonts w:ascii="Times New Roman" w:cs="Times New Roman" w:eastAsia="Times New Roman" w:hAnsi="Times New Roman"/>
          <w:sz w:val="18"/>
          <w:szCs w:val="18"/>
          <w:color w:val="auto"/>
        </w:rPr>
        <w:t>In addition to historical facts, this annual report contains forward-looking statements. Forward-looking statements are merely our current predictions of future events. These statements are inherently uncertain, and actual events could differ materially from our predictions. Important factors that could cause actual events to vary from our predictions include those discussed in this annual report under the headings “Item 7. Management’s Discussion and Analysis of Financial Condition and Results of Operations,” and “Item 1A. Risk Factors.” We assume no obligation to update our forward-looking statements to reflect new information or developments. We urge readers to review carefully the risk factors described in this annual report and in the other documents that we file with the Securities and Exchange Commission.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Available</w:t>
      </w:r>
    </w:p>
    <w:p>
      <w:pPr>
        <w:spacing w:after="0" w:line="240" w:lineRule="exact"/>
        <w:rPr>
          <w:sz w:val="20"/>
          <w:szCs w:val="20"/>
          <w:color w:val="auto"/>
        </w:rPr>
      </w:pPr>
    </w:p>
    <w:p>
      <w:pPr>
        <w:jc w:val="both"/>
        <w:ind w:firstLine="473"/>
        <w:spacing w:after="0" w:line="250" w:lineRule="auto"/>
        <w:rPr>
          <w:sz w:val="20"/>
          <w:szCs w:val="20"/>
          <w:color w:val="auto"/>
        </w:rPr>
      </w:pPr>
      <w:r>
        <w:rPr>
          <w:rFonts w:ascii="Times New Roman" w:cs="Times New Roman" w:eastAsia="Times New Roman" w:hAnsi="Times New Roman"/>
          <w:sz w:val="18"/>
          <w:szCs w:val="18"/>
          <w:color w:val="auto"/>
        </w:rPr>
        <w:t xml:space="preserve">Our principal Internet address is </w:t>
      </w:r>
      <w:r>
        <w:rPr>
          <w:rFonts w:ascii="Times New Roman" w:cs="Times New Roman" w:eastAsia="Times New Roman" w:hAnsi="Times New Roman"/>
          <w:sz w:val="18"/>
          <w:szCs w:val="18"/>
          <w:i w:val="1"/>
          <w:iCs w:val="1"/>
          <w:color w:val="auto"/>
        </w:rPr>
        <w:t>www.kvh.com</w:t>
      </w:r>
      <w:r>
        <w:rPr>
          <w:rFonts w:ascii="Times New Roman" w:cs="Times New Roman" w:eastAsia="Times New Roman" w:hAnsi="Times New Roman"/>
          <w:sz w:val="18"/>
          <w:szCs w:val="18"/>
          <w:color w:val="auto"/>
        </w:rPr>
        <w:t>. Our website provides a hyperlink to a third-party website through which our annual, quarterly, and current reports, as well as amendments to those reports, are available free of charge. We believe these reports are made available as soon as reasonably practicable after we electronically file them with, or furnish them to, the SEC. We do not provide any information regarding our SEC filings directly to the third-party website, and we do not check its accuracy or completeness. The SEC maintains an Internet site at http://www.sec.gov that contains reports, proxy and information statements, and other information regarding issuers that file electronically with the SEC.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42" w:lineRule="exact"/>
        <w:rPr>
          <w:sz w:val="20"/>
          <w:szCs w:val="20"/>
          <w:color w:val="auto"/>
        </w:rPr>
      </w:pPr>
    </w:p>
    <w:p>
      <w:pPr>
        <w:jc w:val="both"/>
        <w:ind w:firstLine="473"/>
        <w:spacing w:after="0" w:line="241" w:lineRule="auto"/>
        <w:rPr>
          <w:sz w:val="20"/>
          <w:szCs w:val="20"/>
          <w:color w:val="auto"/>
        </w:rPr>
      </w:pPr>
      <w:r>
        <w:rPr>
          <w:rFonts w:ascii="Times New Roman" w:cs="Times New Roman" w:eastAsia="Times New Roman" w:hAnsi="Times New Roman"/>
          <w:sz w:val="18"/>
          <w:szCs w:val="18"/>
          <w:color w:val="auto"/>
        </w:rPr>
        <w:t>We are a leading provider of innovative and technology-driven connectivity solutions to primarily maritime customers globally. We provide global high-speed Internet and Voice over Internet Protocol (VoIP) services via satellite to mobile users at sea and on land. We are also a leading provider of commercially licensed entertainment, including news, sports, music, and movies, to commercial customers in the maritime and hotel markets, along with supplemental value-added cybersecurity, email, and crew internet services.</w:t>
      </w:r>
    </w:p>
    <w:p>
      <w:pPr>
        <w:spacing w:after="0" w:line="207"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We currently manufacture our products in Middletown, Rhode Island, and we generate revenues in the United States and various international locations, including primarily Singapore, Canada, South American countries, European Union countries and other European countries, and countries in Africa, the Middle East and Asia/Pacific, including India. As described below, we are winding down our product manufacturing operations in 2024.</w:t>
      </w:r>
    </w:p>
    <w:p>
      <w:pPr>
        <w:spacing w:after="0" w:line="205" w:lineRule="exact"/>
        <w:rPr>
          <w:sz w:val="20"/>
          <w:szCs w:val="20"/>
          <w:color w:val="auto"/>
        </w:rPr>
      </w:pPr>
    </w:p>
    <w:p>
      <w:pPr>
        <w:jc w:val="both"/>
        <w:ind w:firstLine="513"/>
        <w:spacing w:after="0" w:line="268" w:lineRule="auto"/>
        <w:rPr>
          <w:sz w:val="20"/>
          <w:szCs w:val="20"/>
          <w:color w:val="auto"/>
        </w:rPr>
      </w:pPr>
      <w:r>
        <w:rPr>
          <w:rFonts w:ascii="Times New Roman" w:cs="Times New Roman" w:eastAsia="Times New Roman" w:hAnsi="Times New Roman"/>
          <w:sz w:val="18"/>
          <w:szCs w:val="18"/>
          <w:color w:val="auto"/>
        </w:rPr>
        <w:t>We are headquartered in Middletown, Rhode Island, with active operations in Denmark, the United Kingdom, the Philippines, and Singapore. KVH is a Delaware corporation formed in 1985.</w:t>
      </w:r>
    </w:p>
    <w:p>
      <w:pPr>
        <w:spacing w:after="0" w:line="195" w:lineRule="exact"/>
        <w:rPr>
          <w:sz w:val="20"/>
          <w:szCs w:val="20"/>
          <w:color w:val="auto"/>
        </w:rPr>
      </w:pPr>
    </w:p>
    <w:p>
      <w:pPr>
        <w:jc w:val="both"/>
        <w:ind w:firstLine="513"/>
        <w:spacing w:after="0" w:line="268" w:lineRule="auto"/>
        <w:rPr>
          <w:sz w:val="20"/>
          <w:szCs w:val="20"/>
          <w:color w:val="auto"/>
        </w:rPr>
      </w:pPr>
      <w:r>
        <w:rPr>
          <w:rFonts w:ascii="Times New Roman" w:cs="Times New Roman" w:eastAsia="Times New Roman" w:hAnsi="Times New Roman"/>
          <w:sz w:val="18"/>
          <w:szCs w:val="18"/>
          <w:color w:val="auto"/>
        </w:rPr>
        <w:t>We operate as one reportable segment as a result of the sale of our inertial navigation business on August 9, 2022. Please see Notes 1 and 14 to our accompanying audited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16" w:lineRule="exact"/>
        <w:rPr>
          <w:sz w:val="20"/>
          <w:szCs w:val="20"/>
          <w:color w:val="auto"/>
        </w:rPr>
      </w:pPr>
    </w:p>
    <w:p>
      <w:pPr>
        <w:jc w:val="both"/>
        <w:ind w:firstLine="473"/>
        <w:spacing w:after="0" w:line="247" w:lineRule="auto"/>
        <w:rPr>
          <w:sz w:val="20"/>
          <w:szCs w:val="20"/>
          <w:color w:val="auto"/>
        </w:rPr>
      </w:pPr>
      <w:r>
        <w:rPr>
          <w:rFonts w:ascii="Times New Roman" w:cs="Times New Roman" w:eastAsia="Times New Roman" w:hAnsi="Times New Roman"/>
          <w:sz w:val="18"/>
          <w:szCs w:val="18"/>
          <w:color w:val="auto"/>
        </w:rPr>
        <w:t>We provide integrated, end-to-end services, software, and hardware that support our customers’ need for access to the Internet, VoIP, operations content, and entertainment services while on the move. On the services side of our business, sales of our global high-throughput satellite (HTS) airtime service accounted for 81% and 75% of our consolidated net sales for 2023 and 2022, respectively. Sales of content services accounted for 3% and 4% of our consolidated net sales for 2023 and 2022, respectively. On the hardware side of our business, we currently manufacture and distribute a comprehensive family of mobile satellite antenna products that provide two-way access to the Internet and VoIP services using Ku-band VSAT service with integrated 5G/LTE cellular service and support for shore-based Wi-Fi. We distribute products manufactured by third-parties that support low earth orbit (LEO) satellite services. We also manufacture in-motion, stabilized antennas that provide receive-only satellite television services. Product sales accounted for 13% and 19% of our consolidated net sales for 2023 and 2022, respectively.</w:t>
      </w:r>
    </w:p>
    <w:p>
      <w:pPr>
        <w:spacing w:after="0" w:line="215" w:lineRule="exact"/>
        <w:rPr>
          <w:sz w:val="20"/>
          <w:szCs w:val="20"/>
          <w:color w:val="auto"/>
        </w:rPr>
      </w:pPr>
    </w:p>
    <w:p>
      <w:pPr>
        <w:jc w:val="both"/>
        <w:ind w:firstLine="473"/>
        <w:spacing w:after="0" w:line="246" w:lineRule="auto"/>
        <w:rPr>
          <w:sz w:val="20"/>
          <w:szCs w:val="20"/>
          <w:color w:val="auto"/>
        </w:rPr>
      </w:pPr>
      <w:r>
        <w:rPr>
          <w:rFonts w:ascii="Times New Roman" w:cs="Times New Roman" w:eastAsia="Times New Roman" w:hAnsi="Times New Roman"/>
          <w:sz w:val="18"/>
          <w:szCs w:val="18"/>
          <w:color w:val="auto"/>
        </w:rPr>
        <w:t>In the global maritime market, we believe that there is significant demand for mobile access to the Internet, operational data, voice services, entertainment content, and satellite television. For mobile access to the Internet and VoIP services, which we refer to collectively as our airtime services, we offer communication services using global VSAT service, 5G/LTE cellular service, and shore-based Wi-Fi, which are marketed under the KVH ONE hybrid network brand. For customer access to our airtime services, we currently offer a family of parabolic hybrid mobile satellite antenna products, which are marketed under the TracNet hybrid terminal network brand. Under our KVH ONE OpenNet program, customers using non-KVH Ku-band VSAT terminals can subscribe to our airtime services. In addition, we offer a 37 cm parabolic VSAT-only TracPhone V30 antenna and support our legacy family of other VSAT-only terminals marketed under the TracPhone brand and using our global HTS network. We are an authorized reseller of airtime and terminals supporting the Starlink LEO service, and we also have a distribution agreement in place with Eutelsat OneWeb for its LEO services. The network infrastructure that we have developed to support our airtime services also supports the delivery of other value-added services, such as our KVH Link content service, with country-specific news, entertainment, music, and other crew welfare content delivered using our IP-MobileCast multicast delivery service. For both maritime and onshore customers who want to access live television while on the move, we offer a comprehensive family of parabolic mobile satellite antenna products marketed under the TracVision brand.</w:t>
      </w:r>
    </w:p>
    <w:p>
      <w:pPr>
        <w:spacing w:after="0" w:line="214"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Our certified support network offers our TracNet, TracVision, and TracPhone customers an international network of skilled technical dealers and support centers in many locations where our customers are likely to travel or conduct business. We have selected these dealers based on their technical expertise, professionalism, and commitment to quality, and regularly provide them with extensive training in the sale, installation, and support of our products. We also rely on this same sales and technical partner network to support our LEO hardware and airtime customers.</w:t>
      </w:r>
    </w:p>
    <w:p>
      <w:pPr>
        <w:spacing w:after="0" w:line="208" w:lineRule="exact"/>
        <w:rPr>
          <w:sz w:val="20"/>
          <w:szCs w:val="20"/>
          <w:color w:val="auto"/>
        </w:rPr>
      </w:pPr>
    </w:p>
    <w:p>
      <w:pPr>
        <w:jc w:val="both"/>
        <w:ind w:firstLine="473"/>
        <w:spacing w:after="0" w:line="247" w:lineRule="auto"/>
        <w:rPr>
          <w:sz w:val="20"/>
          <w:szCs w:val="20"/>
          <w:color w:val="auto"/>
        </w:rPr>
      </w:pPr>
      <w:r>
        <w:rPr>
          <w:rFonts w:ascii="Times New Roman" w:cs="Times New Roman" w:eastAsia="Times New Roman" w:hAnsi="Times New Roman"/>
          <w:sz w:val="18"/>
          <w:szCs w:val="18"/>
          <w:color w:val="auto"/>
        </w:rPr>
        <w:t>In February 2024, we announced a staged wind-down of our product manufacturing operations at our Middletown, Rhode Island location. The wind-down was driven by reduced demand for our hardware products in the face of intensifying competition in the third and fourth quarters of 2023. We concluded that we should discontinue our capital-intensive manufacturing activities and concentrate our efforts on growing sales of our multi-orbit, multi-channel, integrated communications solutions. We expect that we will continue our product manufacturing activities in order to generate a targeted amount of inventory of maritime satellite connectivity and satellite television terminals to meet anticipated demand and that we will cease substantially all manufacturing activity by the end of the second quarter of 2024. We expect to continue to facilitate customer transition to third-party hardware products compatible with our mobile satellite communications services. We also plan to continue to conduct maintenance, service, warehousing, shipping and receiving activities at the Middletown location.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Airtime Services</w:t>
      </w:r>
    </w:p>
    <w:p>
      <w:pPr>
        <w:spacing w:after="0" w:line="242" w:lineRule="exact"/>
        <w:rPr>
          <w:sz w:val="20"/>
          <w:szCs w:val="20"/>
          <w:color w:val="auto"/>
        </w:rPr>
      </w:pPr>
    </w:p>
    <w:p>
      <w:pPr>
        <w:jc w:val="both"/>
        <w:ind w:firstLine="473"/>
        <w:spacing w:after="0" w:line="246" w:lineRule="auto"/>
        <w:rPr>
          <w:sz w:val="20"/>
          <w:szCs w:val="20"/>
          <w:color w:val="auto"/>
        </w:rPr>
      </w:pPr>
      <w:r>
        <w:rPr>
          <w:rFonts w:ascii="Times New Roman" w:cs="Times New Roman" w:eastAsia="Times New Roman" w:hAnsi="Times New Roman"/>
          <w:sz w:val="18"/>
          <w:szCs w:val="18"/>
          <w:color w:val="auto"/>
        </w:rPr>
        <w:t>We provide subscription plans that enable customers to obtain Internet and VoIP airtime services. We acquire satellite bandwidth through third-party providers, manage our network operations, and provide 24/7/365 after-sale support. We offer a variety of rate plans that are flexible to meet customer needs. The key features of KVH’s VSAT-based airtime services are a choice of high-speed and unlimited use airtime plans, a network management portal, and a comprehensive global customer support program. Our high-speed plans offer simple, usage-based monthly data bundles. When the high-speed data bundle is consumed, subscribers have the option to maintain high data speed at all times with low per MB overage rates or to shift to a slower unlimited use data speed for the remainder of the month. Our unlimited use data plans offer plans based on maximum upload and download speeds. All TracNet, TracPhone, and OpenNet 60 cm to 1 meter antennas support simultaneous high-speed and unlimited use plans for optimal flexibility, while all 37 cm terminals offer a single high-speed data channel. Our customer portal, myKVH, is a secure site that offers KVH customers easy access to technical support, product warranty and user documentation, billing, and our system and network tools. Available tools and reports include, among other features, terminal status, real-time data reporting and the ability to manage data access by application category, configure the KVH</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terminal, optimize performance with Tracking Avoidance Zones, set data usage alerts and get real-time vessel tracking reports with up to one year of historical data.</w:t>
      </w:r>
    </w:p>
    <w:p>
      <w:pPr>
        <w:spacing w:after="0" w:line="195"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AgilePlans, one of our options for commercial maritime customers, offers an all-inclusive Connectivity as a Service, or CaaS, usage-based pricing model. Under this all-in-one CaaS model, we charge subscribers a single monthly fee in exchange for which we provide either TracNet or TracPhone satellite communication hardware, subsidized shipping and installation, maintenance and support, airtime and VoIP services, a service management portal and certain basic content services with no minimum commitment and no long-term contract. AgilePlans customers may also choose to add a Starlink terminal and data plan to a new or existing AgilePlans subscription.</w:t>
      </w:r>
    </w:p>
    <w:p>
      <w:pPr>
        <w:spacing w:after="0" w:line="214"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We offer AgilePlans customers a variety of airtime data plans with varying data allotments and fixed data usage levels with our exclusive dual-channel configuration, with dual channel airtime plans delivering both a high-speed channel and an unlimited use data channel. Under our CaaS model, we retain ownership of the hardware and do not sell it to subscribers, who must return it to us if they terminate our service. Returned units may be refurbished and redeployed for new AgilePlans subscriptions. We expect that, as customers subscribe to our AgilePlans service, our revenues from product sales will continue to decline, and our provision of this equipment to subscribers will continue to comprise the majority of our capital expenditures.</w:t>
      </w:r>
    </w:p>
    <w:p>
      <w:pPr>
        <w:spacing w:after="0" w:line="214" w:lineRule="exact"/>
        <w:rPr>
          <w:sz w:val="20"/>
          <w:szCs w:val="20"/>
          <w:color w:val="auto"/>
        </w:rPr>
      </w:pPr>
    </w:p>
    <w:p>
      <w:pPr>
        <w:jc w:val="both"/>
        <w:ind w:firstLine="473"/>
        <w:spacing w:after="0" w:line="246" w:lineRule="auto"/>
        <w:rPr>
          <w:sz w:val="20"/>
          <w:szCs w:val="20"/>
          <w:color w:val="auto"/>
        </w:rPr>
      </w:pPr>
      <w:r>
        <w:rPr>
          <w:rFonts w:ascii="Times New Roman" w:cs="Times New Roman" w:eastAsia="Times New Roman" w:hAnsi="Times New Roman"/>
          <w:sz w:val="18"/>
          <w:szCs w:val="18"/>
          <w:color w:val="auto"/>
        </w:rPr>
        <w:t>In October 2017, we launched our next-generation, advanced maritime broadband network with Intelsat. The HTS high-speed network incorporates Intelsat satellite services, including Epic satellites, and the IntelsatOne Flex platform, a global managed service designed to optimize bandwidth allocations and provide flexible coverage where it is needed. Our global HTS network also benefits from Japanese satellite capacity provided by SKY Perfect JSAT. Overall, our global HTS network currently uses a combination of 178 Ku-band transponders (5 of which we directly contract for) on 22 satellites to provide Ku-band coverage throughout the northern and southern hemispheres. Of the 22 satellites, 6 are considered high-throughput satellites that provide coverage via overlapping high-powered spot beams. Of the 178 Ku-band transponders, 158 are on high-throughput satellites. In 2023, we expanded our satellite coverage with the addition of 2 new high throughput satellites that provide service over the North and Central American waters and the North Atlantic Ocean, respectively. In the fourth quarter of 2023, we increased network capacity in the South Pacific, which addressed a previous coverage gap west of South America. It is our long-term plan to continue to maintain and enhance our global HTS network. Along with our Ku-band HTS network, we offer airtime services via other networks, such as Starlink and Iridium. Later in 2024 we also plan to offer services from Eutelsat OneWeb.</w:t>
      </w:r>
    </w:p>
    <w:p>
      <w:pPr>
        <w:spacing w:after="0" w:line="218"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In May 2023, we announced a new program for leisure and commercial vessels: the KVH ONE OpenNet Program. Vessels equipped with 60 cm to 1 m terminals built by other manufacturers, including Intellian and Cobham, can use their existing non-KVH VSAT antennas to subscribe to KVH’s global HTS network airtime, receive 24/7 airtime and technical support, and make use of KVH’s suite of value-added services. Typically, no hardware exchanges are needed to subscribe to the service.</w:t>
      </w:r>
    </w:p>
    <w:p>
      <w:pPr>
        <w:spacing w:after="0" w:line="208" w:lineRule="exact"/>
        <w:rPr>
          <w:sz w:val="20"/>
          <w:szCs w:val="20"/>
          <w:color w:val="auto"/>
        </w:rPr>
      </w:pPr>
    </w:p>
    <w:p>
      <w:pPr>
        <w:jc w:val="both"/>
        <w:ind w:firstLine="473"/>
        <w:spacing w:after="0" w:line="247" w:lineRule="auto"/>
        <w:rPr>
          <w:sz w:val="20"/>
          <w:szCs w:val="20"/>
          <w:color w:val="auto"/>
        </w:rPr>
      </w:pPr>
      <w:r>
        <w:rPr>
          <w:rFonts w:ascii="Times New Roman" w:cs="Times New Roman" w:eastAsia="Times New Roman" w:hAnsi="Times New Roman"/>
          <w:sz w:val="18"/>
          <w:szCs w:val="18"/>
          <w:color w:val="auto"/>
        </w:rPr>
        <w:t>In October 2023, we signed an exclusive multi-year agreement with Kognitive Networks through which we are integrating Kognitive’s diverse suite of enterprise-grade network and bandwidth management tools, white-labeled as CommBox Edge, into our maritime mobile communication service offerings. CommBox Edge is an integral element of our multi-orbit, multi-channel marine communication solutions, enabling more diverse hybrid configurations. The new suite of tools integrates with and manages onboard connectivity with features such as a cloud-managed user interface, real-time data metering and analysis, WAN combination and control with advanced routing and channel bonding, which combines multiple internet connections for increased speed and performance, network protection and security with deep packet inspection, traffic policies, and VPN. Network and bandwidth configuration are controlled via compact onboard services and both cloud-based and mobile applications.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Content Services</w:t>
      </w:r>
    </w:p>
    <w:p>
      <w:pPr>
        <w:spacing w:after="0" w:line="242" w:lineRule="exact"/>
        <w:rPr>
          <w:sz w:val="20"/>
          <w:szCs w:val="20"/>
          <w:color w:val="auto"/>
        </w:rPr>
      </w:pPr>
    </w:p>
    <w:p>
      <w:pPr>
        <w:jc w:val="both"/>
        <w:ind w:firstLine="473"/>
        <w:spacing w:after="0" w:line="253" w:lineRule="auto"/>
        <w:rPr>
          <w:sz w:val="20"/>
          <w:szCs w:val="20"/>
          <w:color w:val="auto"/>
        </w:rPr>
      </w:pPr>
      <w:r>
        <w:rPr>
          <w:rFonts w:ascii="Times New Roman" w:cs="Times New Roman" w:eastAsia="Times New Roman" w:hAnsi="Times New Roman"/>
          <w:sz w:val="18"/>
          <w:szCs w:val="18"/>
          <w:color w:val="auto"/>
        </w:rPr>
        <w:t>We offer a variety of value-added services to our maritime customers as well as news content to our hotel customers. The vast majority of these value-added services are subscription-based.</w:t>
      </w:r>
    </w:p>
    <w:p>
      <w:pPr>
        <w:spacing w:after="0" w:line="208"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Our KVH Media Group, which is based in the United Kingdom, distributes commercially licensed entertainment, including news, sports, and movies to commercial customers in the maritime and hotel markets, along with supplemental value-added services. Sales from KVH Media Group are included as part of content service sales. Our "news from home" digital newspaper service includes more than 100 daily newspapers in more than 20 languages. The digital content can be printed onboard or viewed on a TV, tablet, smartphone, or laptop. For movie and television content, we are an approved distributor of licensed content for certain Hollywood, Bollywood, and independent studios worldwide.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jc w:val="both"/>
        <w:ind w:firstLine="473"/>
        <w:spacing w:after="0" w:line="246" w:lineRule="auto"/>
        <w:rPr>
          <w:sz w:val="20"/>
          <w:szCs w:val="20"/>
          <w:color w:val="auto"/>
        </w:rPr>
      </w:pPr>
      <w:r>
        <w:rPr>
          <w:rFonts w:ascii="Times New Roman" w:cs="Times New Roman" w:eastAsia="Times New Roman" w:hAnsi="Times New Roman"/>
          <w:sz w:val="18"/>
          <w:szCs w:val="18"/>
          <w:color w:val="auto"/>
        </w:rPr>
        <w:t>We offer a content subscription service called KVH Link, which is delivered by IP-MobileCast. Through IP-MobileCast, content and data files are transmitted using multicast technology across our global satellite networks to every vessel that has an active, compatible TracPhone or TracNet terminal. This delivery mechanism reduces the amount of bandwidth required to transmit large files to a large population of customers. Before multicasting, large data files were generally transmitted across satellite networks “on demand,” or unicast, which consumes significant bandwidth. The content is stored on the terminal itself, which is required for digital rights managed content such as movies. Copyright law requires permission from the rights holder for exhibitions of copyrighted film and television. Historically, studios have granted KVH Media Group permission to license non-theatrical exhibitions aboard ships. While traditionally we licensed this content to commercial maritime customers primarily through the distribution of DVDs, we have automated the transmission of this type of entertainment via KVH Link. We also offer linkHUB, a standalone digital service. The linkHUB unit allows for a digital rights managed entertainment service without the need for a TracPhone or TracNet terminal.</w:t>
      </w:r>
    </w:p>
    <w:p>
      <w:pPr>
        <w:spacing w:after="0" w:line="220"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Customers that subscribe to one of our entertainment packages generally receive a variety of movie and television content that is cached locally onboard. We transmit local "news from home" and international news segments in a variety of languages on a daily, weekly or monthly basis, a library of movies plus daily sports, news clips and special programming such as the highlights of sporting events.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Value-added Services</w:t>
      </w:r>
    </w:p>
    <w:p>
      <w:pPr>
        <w:spacing w:after="0" w:line="242"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We recognize that our customers desire more than just a simple pipe for data and connectivity. Our TracNet and TracPhone systems are designed to support an expanding suite of value-added services that both increase the capabilities of our customers' systems as well as generate additional recurring revenue for KVH. Among these value-added services are an enterprise-grade Managed Firewall powered by industry leader Fortinet, a cloud email system for commercial fleets and seafarers, crew Internet support, real-time vessel tracking, our KVH Link content service, and CommBox Edge. We expect that the majority of these services will also be available through third-party antennas connected to our network.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Maritime Products</w:t>
      </w:r>
    </w:p>
    <w:p>
      <w:pPr>
        <w:spacing w:after="0" w:line="242"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In the marine market, we currently offer a range of mobile satellite TV and communications products. As noted above, we are winding down our product manufacturing operations at our Middletown, Rhode Island location and expect to cease substantially all manufacturing activity by the end of the second quarter of 2024. We expect to continue to facilitate customer transition to third-party hardware products compatible with our mobile satellite communications services.</w:t>
      </w:r>
    </w:p>
    <w:p>
      <w:pPr>
        <w:spacing w:after="0" w:line="208" w:lineRule="exact"/>
        <w:rPr>
          <w:sz w:val="20"/>
          <w:szCs w:val="20"/>
          <w:color w:val="auto"/>
        </w:rPr>
      </w:pPr>
    </w:p>
    <w:p>
      <w:pPr>
        <w:jc w:val="both"/>
        <w:ind w:firstLine="473"/>
        <w:spacing w:after="0" w:line="247" w:lineRule="auto"/>
        <w:rPr>
          <w:sz w:val="20"/>
          <w:szCs w:val="20"/>
          <w:color w:val="auto"/>
        </w:rPr>
      </w:pPr>
      <w:r>
        <w:rPr>
          <w:rFonts w:ascii="Times New Roman" w:cs="Times New Roman" w:eastAsia="Times New Roman" w:hAnsi="Times New Roman"/>
          <w:sz w:val="18"/>
          <w:szCs w:val="18"/>
          <w:color w:val="auto"/>
        </w:rPr>
        <w:t>Our parabolic mobile satellite antenna products use sophisticated robotics, stabilization, and control software, sensing technologies, transceiver integration, and advanced antenna designs to automatically search for, identify, and point directly at the optimal television and communications satellite while the vessel or vehicle is in motion. Our antennas use digital inertial measurement units, gyroscopes, and inclinometers to measure the movement of an antenna platform in relation to the earth in three different axes. Microprocessors and our proprietary stabilization and control software use that data to compute the antenna movement necessary for the antenna’s motors to point the antenna properly and maintain contact with the satellite. If an obstruction temporarily blocks the satellite signal, our products either automatically switch to an available, alternate satellite beam or, if no other beam is available, continue to track the satellite’s location according to the movement of the antenna platform in order to carry out automatic, rapid reacquisition of the signal when a direct line of sight to the satellite is restored.</w:t>
      </w:r>
    </w:p>
    <w:p>
      <w:pPr>
        <w:spacing w:after="0" w:line="213" w:lineRule="exact"/>
        <w:rPr>
          <w:sz w:val="20"/>
          <w:szCs w:val="20"/>
          <w:color w:val="auto"/>
        </w:rPr>
      </w:pPr>
    </w:p>
    <w:p>
      <w:pPr>
        <w:jc w:val="both"/>
        <w:ind w:firstLine="473"/>
        <w:spacing w:after="0" w:line="247" w:lineRule="auto"/>
        <w:rPr>
          <w:sz w:val="20"/>
          <w:szCs w:val="20"/>
          <w:color w:val="auto"/>
        </w:rPr>
      </w:pPr>
      <w:r>
        <w:rPr>
          <w:rFonts w:ascii="Times New Roman" w:cs="Times New Roman" w:eastAsia="Times New Roman" w:hAnsi="Times New Roman"/>
          <w:sz w:val="18"/>
          <w:szCs w:val="18"/>
          <w:i w:val="1"/>
          <w:iCs w:val="1"/>
          <w:u w:val="single" w:color="auto"/>
          <w:color w:val="auto"/>
        </w:rPr>
        <w:t>Satellite Internet and Phone.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TracNet hybrid terminals offer an end-to-end, multichannel connectivity solution. Every TracNet terminal includes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integrated Ku-band VSAT antenna, high-efficiency 5G/LTE cellular antenna, and high-powered Wi-Fi bridge for connections to shore-based Wi-Fi channels. TracNet systems offer intelligent hybrid channel switching based on factors such as service availability, costs, and the quality of data transfer. Our TracNet systems also offer the option to add two additional third-party services and their companion terminals to serve as alternate primary or backup services. We also continue to service and support our legacy TracPhone VSAT-only terminals. Together with our airtime services, these products provide an end-to-end solution for offshore mobile connectivity to commercial, leisure, and government customers seeking an integrated hardware and service solution for mobile communications and seamless region-to-region roaming. We manufacture the TracNet and TracPhone terminals and provide 24/7/365 after-sale support. We integrate the full rack of discrete below-deck equipment typically used on traditional VSAT systems into a single, streamlined unit that is significantly easier to deploy than competing VSAT solutions.</w:t>
      </w:r>
    </w:p>
    <w:p>
      <w:pPr>
        <w:spacing w:after="0" w:line="214"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We offer three TracNet H-series terminals: the 37 cm TracNet H30, the 60 cm TracNet H60, and the 1 meter TracNet H90. These systems all offer multi-channel hybrid connectivity, KVH’s global SIM card, and the option to use customer-supplied SIMs for local cellular service. In addition, each antenna contains the modem in the dome for higher efficiency and reduced signal loss, along with single-cable installation. VSAT data speeds offered by the TracNet systems vary by antenna</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diameter: TracNet H30 offers maximum speeds of 6/2 Mbps (down/up), TracNet H60 offers maximum speeds of 10/3 Mbps (down/up), and the TracNet H90 offers maximum speeds of 20/3 Mbps (down/up). These sizes and speeds support a wide range of vessels from leisure craft as small as 40 feet long and small fishing vessels to superyachts and large commercial vessels. Each TracNet H-series terminal includes a belowdeck hub that includes a Wi-Fi router along with support for intelligent automatic channel switching among as many as five discreet Wide Area Networks (WANs), including the integrated VSAT, 5G/cellular, and shore-based Wi-Fi services. Automatic switching is managed based on an array of performance and service cost parameters.</w:t>
      </w:r>
    </w:p>
    <w:p>
      <w:pPr>
        <w:spacing w:after="0" w:line="184" w:lineRule="exact"/>
        <w:rPr>
          <w:sz w:val="20"/>
          <w:szCs w:val="20"/>
          <w:color w:val="auto"/>
        </w:rPr>
      </w:pPr>
    </w:p>
    <w:p>
      <w:pPr>
        <w:jc w:val="both"/>
        <w:ind w:firstLine="473"/>
        <w:spacing w:after="0" w:line="293" w:lineRule="auto"/>
        <w:rPr>
          <w:sz w:val="20"/>
          <w:szCs w:val="20"/>
          <w:color w:val="auto"/>
        </w:rPr>
      </w:pPr>
      <w:r>
        <w:rPr>
          <w:rFonts w:ascii="Times New Roman" w:cs="Times New Roman" w:eastAsia="Times New Roman" w:hAnsi="Times New Roman"/>
          <w:sz w:val="16"/>
          <w:szCs w:val="16"/>
          <w:color w:val="auto"/>
        </w:rPr>
        <w:t>In addition to the TracNet systems, we also continue to offer our TracPhone V30 marine VSAT antenna. The TracPhone V30 combines the small 37 cm antenna size, easy installation, and fast data speed to make Internet connectivity, content streaming, and social media use possible on sailboats, center console boats, and recreational boats. The TracPhone V30 is also well-suited to commercial vessels that don’t voyage globally, including fishing boats, tugboats, and offshore service vessels. We continue to offer refurbished 60 cm TracPhone V7-HTS terminals as part of our AgilePlans Connectivity as a Service program.</w:t>
      </w:r>
    </w:p>
    <w:p>
      <w:pPr>
        <w:spacing w:after="0" w:line="177" w:lineRule="exact"/>
        <w:rPr>
          <w:sz w:val="20"/>
          <w:szCs w:val="20"/>
          <w:color w:val="auto"/>
        </w:rPr>
      </w:pPr>
    </w:p>
    <w:p>
      <w:pPr>
        <w:jc w:val="both"/>
        <w:ind w:firstLine="473"/>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LTE Broadband.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offer the TracPhone LTE-1, which is a high-gain dual antenna array, modem, GPS, and Wi-Fi router inside a 34 cm diameter dome.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TracPhone LTE-1 is equipped with a U.S-only SIM card that provides Internet access in U.S. waters as far as 20 miles or more (32 kilometers or more) offshore.</w:t>
      </w:r>
    </w:p>
    <w:p>
      <w:pPr>
        <w:spacing w:after="0" w:line="205"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We also offer the LTE-1 Global marine communications system, which is equipped with a global SIM card that supports cellular data service in more than 150 countries with Internet access as far as 20 miles or more (32 kilometers or more) offshore. The system utilizes LTE Advanced cellular network technology, which is faster than regular 4G LTE.</w:t>
      </w:r>
    </w:p>
    <w:p>
      <w:pPr>
        <w:spacing w:after="0" w:line="203" w:lineRule="exact"/>
        <w:rPr>
          <w:sz w:val="20"/>
          <w:szCs w:val="20"/>
          <w:color w:val="auto"/>
        </w:rPr>
      </w:pPr>
    </w:p>
    <w:p>
      <w:pPr>
        <w:jc w:val="both"/>
        <w:ind w:firstLine="473"/>
        <w:spacing w:after="0" w:line="250" w:lineRule="auto"/>
        <w:rPr>
          <w:sz w:val="20"/>
          <w:szCs w:val="20"/>
          <w:color w:val="auto"/>
        </w:rPr>
      </w:pPr>
      <w:r>
        <w:rPr>
          <w:rFonts w:ascii="Times New Roman" w:cs="Times New Roman" w:eastAsia="Times New Roman" w:hAnsi="Times New Roman"/>
          <w:sz w:val="18"/>
          <w:szCs w:val="18"/>
          <w:i w:val="1"/>
          <w:iCs w:val="1"/>
          <w:u w:val="single" w:color="auto"/>
          <w:color w:val="auto"/>
        </w:rPr>
        <w:t>Other Marine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our legacy TracPhone systems, we offer CommBox, a ship-to-shore network management product that comprises shipboard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hardware, a KVH-hosted or privately-owned shore-based hub, and a suite of software applications. Our CommBox offerings are generally integrated into the majority of our VSAT product offerings. We do not generate significant revenue from sales of standalone CommBox hardware. We have also introduced CommBox Edge, a next-generation network and bandwidth management system and related services through our maritime distribution agreement with Kognitive Networks.</w:t>
      </w:r>
    </w:p>
    <w:p>
      <w:pPr>
        <w:spacing w:after="0" w:line="212"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We also offer Iridium OpenPort service to be used in conjunction with our VSAT service. Iridium OpenPort service provides data rates up to 128 kilobits per second (Kbps) and covers the entire world, including the polar regions. We offer the Iridium service along with our own hybrid and VSAT solutions with the integrated CommBox functionality, which will switch over to the Iridium service if KVH’s VSAT, 5G/LTE, or shore Wi-Fi services are not available. Some of our customers add the Iridium service to expand the geographic coverage of the system or as a backup service.</w:t>
      </w:r>
    </w:p>
    <w:p>
      <w:pPr>
        <w:spacing w:after="0" w:line="208"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We offer Iridium Certus, a next-generation L-band solution providing pole-to-pole global coverage. We currently offer three terminals compatible with Iridium Certus service – the Thales VesseLINK 200 (data speeds as fast as 176/176 Kbps down/up), the VesseLINK 700 (data speeds as fast as 704/352 Kbps down/up), and the Cobham Sailor 4300 (data speeds as fast as 704/176 Kbps down/up), which is only available to AgilePlans subscribers. Optional routing enables onboard data to switch between our KVH ONE hybrid network services and Iridium Certus.</w:t>
      </w:r>
    </w:p>
    <w:p>
      <w:pPr>
        <w:spacing w:after="0" w:line="208"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In addition to our TracNet hybrid and TracPhone VSAT-only products and associated airtime services service, we also offer the Inmarsat-compatible TracPhone FleetOne product that provides in-motion access to global satellite communications. The FleetOne terminals are manufactured by Cobham and distributed on an original equipment manufacturer basis by us in North America under our TracPhone brand and distributed in other markets on a non-exclusive basis.</w:t>
      </w:r>
    </w:p>
    <w:p>
      <w:pPr>
        <w:spacing w:after="0" w:line="208"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In March 2023, we began selling Starlink terminals as companion terminals for new TracNet installations as well as for existing TracNet and TracPhone systems. In September 2023, we became an authorized hardware and airtime reseller for Starlink. We currently offer Starlink on its own and also as a KVH ONE global network companion service. While Starlink offers a fast and lower-cost data pipe, we believe that a KVH and Starlink hybrid deployment offers a more robust solution thanks to our intelligent channel switching, KVH ONE global hybrid network, integrated services, enterprise-grade cybersecurity, and other features.</w:t>
      </w:r>
    </w:p>
    <w:p>
      <w:pPr>
        <w:spacing w:after="0" w:line="214" w:lineRule="exact"/>
        <w:rPr>
          <w:sz w:val="20"/>
          <w:szCs w:val="20"/>
          <w:color w:val="auto"/>
        </w:rPr>
      </w:pPr>
    </w:p>
    <w:p>
      <w:pPr>
        <w:jc w:val="both"/>
        <w:ind w:firstLine="473"/>
        <w:spacing w:after="0" w:line="293" w:lineRule="auto"/>
        <w:rPr>
          <w:sz w:val="20"/>
          <w:szCs w:val="20"/>
          <w:color w:val="auto"/>
        </w:rPr>
      </w:pPr>
      <w:r>
        <w:rPr>
          <w:rFonts w:ascii="Times New Roman" w:cs="Times New Roman" w:eastAsia="Times New Roman" w:hAnsi="Times New Roman"/>
          <w:sz w:val="16"/>
          <w:szCs w:val="16"/>
          <w:color w:val="auto"/>
        </w:rPr>
        <w:t>In January 2024, we announced a distribution agreement with EutelSat OneWeb that will enable us to expand our multi-orbit hybrid network to include Eutelsat OneWeb’s high-speed, low-latency service. Under the terms of the agreement, KVH will offer Eutelsat OneWeb’s LEO connectivity services supporting terminals for commercial and leisure vessels via Eutelsat OneWeb’s LEO satellite constellation. OneWeb’s network compromises more than 630 satellites in low earth orbit that can deliver enterprise-grade broadband connectivity services. EutelSat OneWeb is rapidly expanding its network and ground</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infrastructure to meet the needs of maritime’s global requirements. We currently plan to source Eutelsat OneWeb-compatible flat-panel terminals from a third party, and we expect to commence shipments of terminals and service activations in the second quarter of 2024.</w:t>
      </w:r>
    </w:p>
    <w:p>
      <w:pPr>
        <w:spacing w:after="0" w:line="195"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Unlike our VSAT Broadband airtime, where we control and sell the airtime, we purchase Starlink, Inmarsat, Iridium, and regional cellular data directly from these companies and resell it to our customers. We anticipate using a similar arrangement with Eutelsat OneWeb upon launch of the global service, currently expected to occur in the second quarter of 2024.</w:t>
      </w:r>
    </w:p>
    <w:p>
      <w:pPr>
        <w:spacing w:after="0" w:line="203" w:lineRule="exact"/>
        <w:rPr>
          <w:sz w:val="20"/>
          <w:szCs w:val="20"/>
          <w:color w:val="auto"/>
        </w:rPr>
      </w:pPr>
    </w:p>
    <w:p>
      <w:pPr>
        <w:jc w:val="both"/>
        <w:ind w:firstLine="473"/>
        <w:spacing w:after="0" w:line="248" w:lineRule="auto"/>
        <w:rPr>
          <w:sz w:val="20"/>
          <w:szCs w:val="20"/>
          <w:color w:val="auto"/>
        </w:rPr>
      </w:pPr>
      <w:r>
        <w:rPr>
          <w:rFonts w:ascii="Times New Roman" w:cs="Times New Roman" w:eastAsia="Times New Roman" w:hAnsi="Times New Roman"/>
          <w:sz w:val="18"/>
          <w:szCs w:val="18"/>
          <w:i w:val="1"/>
          <w:iCs w:val="1"/>
          <w:u w:val="single" w:color="auto"/>
          <w:color w:val="auto"/>
        </w:rPr>
        <w:t>Maritime Satellite TV</w:t>
      </w:r>
      <w:r>
        <w:rPr>
          <w:rFonts w:ascii="Times New Roman" w:cs="Times New Roman" w:eastAsia="Times New Roman" w:hAnsi="Times New Roman"/>
          <w:sz w:val="18"/>
          <w:szCs w:val="18"/>
          <w:color w:val="auto"/>
        </w:rPr>
        <w:t>. Our TracVision TV-series satellite TV antennas are designed with the full spectrum of vessel sizes in mind, ranging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recreational vessels as small as 20 to 25 feet to large commercial vessels. The TV-series incorporate an Internet Protocol (IP)-enabled control unit to allow access to system information from any Wi-Fi device. Our family of marine TracVision products includes the 32 cm diameter TracVision TV1, 37 cm diameter TracVision TV3, 45 cm diameter TracVision TV5, 60 cm diameter TracVision TV6, 81 cm TracVision TV8, and 1 meter TracVision TV10. These products are compatible with Ku-band SDTV and HDTV programming as well as high-powered regional satellite TV services around the globe, based on the available signal strength and antenna size requirements. TracVision TV-series products also offer configuration, status, and service capabilities via the optional, free TracVision application for use on iOS and Android mobile devices.</w:t>
      </w:r>
    </w:p>
    <w:p>
      <w:pPr>
        <w:spacing w:after="0" w:line="213" w:lineRule="exact"/>
        <w:rPr>
          <w:sz w:val="20"/>
          <w:szCs w:val="20"/>
          <w:color w:val="auto"/>
        </w:rPr>
      </w:pPr>
    </w:p>
    <w:p>
      <w:pPr>
        <w:jc w:val="both"/>
        <w:ind w:firstLine="473"/>
        <w:spacing w:after="0" w:line="246" w:lineRule="auto"/>
        <w:rPr>
          <w:sz w:val="20"/>
          <w:szCs w:val="20"/>
          <w:color w:val="auto"/>
        </w:rPr>
      </w:pPr>
      <w:r>
        <w:rPr>
          <w:rFonts w:ascii="Times New Roman" w:cs="Times New Roman" w:eastAsia="Times New Roman" w:hAnsi="Times New Roman"/>
          <w:sz w:val="18"/>
          <w:szCs w:val="18"/>
          <w:color w:val="auto"/>
        </w:rPr>
        <w:t>Our TracVision HD-series satellite TV antennas are designed to offer a high-definition TV experience comparable to that available to a home DIRECTV HDTV subscriber. Our TracVision UHD7 uses a 60 cm diameter satellite TV antenna to receive signals from two DIRECTV Ka-band satellites and one DIRECTV Ku-band satellite simultaneously. It also supports Ku-band DISH Network in the United States, select portions of the Caribbean, and Bell TV in Canada. It includes an IP-enabled antenna control unit and, as with the TracVision TV-series, the TracVision UHD7 offers configuration, status, and service capabilities via the optional, free TracVision application for use on iOS and Android mobile devices. Our TracVision HD11 offers a worldwide satellite TV capability through the use of a 1-meter diameter antenna and a global low noise block (LNB) designed for use with the majority of direct-to-home satellite TV services. As a result, it is able to receive all Ku-band and DIRECTV Ka-band satellite television signals without changing hardware elements. The Ku-band also works with modern satellite television services currently available throughout the world. The Ka-band receives DIRECTV HDTV. Like the TracVision UHD7, the TracVision HD11 features an optional application for iOS mobile devices to provide easy control of the system.</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Land Mobile Products</w:t>
      </w:r>
    </w:p>
    <w:p>
      <w:pPr>
        <w:spacing w:after="0" w:line="242" w:lineRule="exact"/>
        <w:rPr>
          <w:sz w:val="20"/>
          <w:szCs w:val="20"/>
          <w:color w:val="auto"/>
        </w:rPr>
      </w:pPr>
    </w:p>
    <w:p>
      <w:pPr>
        <w:jc w:val="both"/>
        <w:ind w:firstLine="473"/>
        <w:spacing w:after="0" w:line="248" w:lineRule="auto"/>
        <w:rPr>
          <w:sz w:val="20"/>
          <w:szCs w:val="20"/>
          <w:color w:val="auto"/>
        </w:rPr>
      </w:pPr>
      <w:r>
        <w:rPr>
          <w:rFonts w:ascii="Times New Roman" w:cs="Times New Roman" w:eastAsia="Times New Roman" w:hAnsi="Times New Roman"/>
          <w:sz w:val="18"/>
          <w:szCs w:val="18"/>
          <w:color w:val="auto"/>
        </w:rPr>
        <w:t>We sell several TracVision satellite TV antenna systems for use on a broad array of vehicles, including recreational vehicles (RV), buses, conversion vans, and automobiles. In the RV and bus markets, we offer Ku-band TracVision satellite TV products, intended for both stationary and in-motion use. Our TracVision R1 delivers standard-definition DIRECTV and high-definition DISH network service through a parabolic 32 cm diameter antenna. Our TracVision A9 uses hybrid phased-array antenna technology to provide in-motion reception of satellite TV programming in the continental United States using either the standard-definition DIRECTV or high-definition DISH Network services. The TracVision A9 stands approximately five inches high and mounts either to a vehicle’s roof rack or directly to the vehicle’s roof, making it practical for use aboard minivans, SUVs and other passenger vehicles.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Marketing and Support</w:t>
      </w:r>
    </w:p>
    <w:p>
      <w:pPr>
        <w:spacing w:after="0" w:line="229"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Our sales, marketing, and support efforts target markets that are substantial and complex, and require, in many cases, networks of intermediaries, such as dealers, distributors, airtime service providers, and manufacturers’ representatives, to reach our end-user customers. These sales channels vary and evolve from time to time, but currently include targeted efforts to reach the commercial and leisure maritime markets; the RV, high-end automotive, and bus markets; and the commercial, industrial, and government markets. As our business evolves, we may pursue additional sales channels, including direct sales, in various markets. Our brands include:</w:t>
      </w:r>
    </w:p>
    <w:p>
      <w:pPr>
        <w:spacing w:after="0" w:line="214" w:lineRule="exact"/>
        <w:rPr>
          <w:sz w:val="20"/>
          <w:szCs w:val="20"/>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AgilePlans® – Connectivity as a Service Program</w:t>
      </w:r>
    </w:p>
    <w:p>
      <w:pPr>
        <w:spacing w:after="0" w:line="2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CommBox™ – data management software for maritime communications</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CommBox™ Edge – advanced maritime network optimization and management solution</w:t>
      </w:r>
    </w:p>
    <w:p>
      <w:pPr>
        <w:spacing w:after="0" w:line="3" w:lineRule="exact"/>
        <w:rPr>
          <w:rFonts w:ascii="Times New Roman" w:cs="Times New Roman" w:eastAsia="Times New Roman" w:hAnsi="Times New Roman"/>
          <w:sz w:val="18"/>
          <w:szCs w:val="18"/>
          <w:color w:val="auto"/>
        </w:rPr>
      </w:pPr>
    </w:p>
    <w:p>
      <w:pPr>
        <w:ind w:left="640" w:hanging="319"/>
        <w:spacing w:after="0" w:line="201"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KVH Elite</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xml:space="preserve"> – unlimited HD-quality streaming service for leisure yachts</w:t>
      </w: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KVH Link – crew wellbeing content subscription service with delivery by IP-MobileCast</w:t>
      </w:r>
    </w:p>
    <w:p>
      <w:pPr>
        <w:spacing w:after="0" w:line="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KVH ONE® – global hybrid communication network supporting Internet, VoIP, content delivery, and more</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KVH OneCare™ – global services and support for TracNet and TracPhone systems</w:t>
      </w:r>
    </w:p>
    <w:p>
      <w:pPr>
        <w:spacing w:after="0" w:line="3" w:lineRule="exact"/>
        <w:rPr>
          <w:rFonts w:ascii="Times New Roman" w:cs="Times New Roman" w:eastAsia="Times New Roman" w:hAnsi="Times New Roman"/>
          <w:sz w:val="18"/>
          <w:szCs w:val="18"/>
          <w:color w:val="auto"/>
        </w:rPr>
      </w:pPr>
    </w:p>
    <w:p>
      <w:pPr>
        <w:ind w:left="640" w:hanging="319"/>
        <w:spacing w:after="0" w:line="201"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MOVIElink</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xml:space="preserve"> – movie distribution through a variety of means</w:t>
      </w: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MUSIClink™ – music and karaoke delivered through a variety of means</w:t>
      </w:r>
    </w:p>
    <w:p>
      <w:pPr>
        <w:spacing w:after="0" w:line="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NEWSlink™ – maritime news delivery service through a variety of means</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OpenNet – delivering KVH VSAT data services to non-KVH Ku-band VSAT terminals</w:t>
      </w:r>
    </w:p>
    <w:p>
      <w:pPr>
        <w:spacing w:after="0" w:line="3" w:lineRule="exact"/>
        <w:rPr>
          <w:rFonts w:ascii="Times New Roman" w:cs="Times New Roman" w:eastAsia="Times New Roman" w:hAnsi="Times New Roman"/>
          <w:sz w:val="18"/>
          <w:szCs w:val="18"/>
          <w:color w:val="auto"/>
        </w:rPr>
      </w:pPr>
    </w:p>
    <w:p>
      <w:pPr>
        <w:ind w:left="640" w:hanging="319"/>
        <w:spacing w:after="0" w:line="201"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SPORTSlink</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xml:space="preserve"> – sporting content delivered through a variety of means</w:t>
      </w: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TracNet™ – integrated hybrid two-way communication terminals with VSAT, 5G/LTE, and shore-based Wi-Fi</w:t>
      </w:r>
    </w:p>
    <w:p>
      <w:pPr>
        <w:spacing w:after="0" w:line="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TracPhone® – two-way VSAT-only satellite communications systems</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TracVision® – satellite television systems for vessels and vehicles</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TVlink</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xml:space="preserve"> – television programming delivered through a variety of means</w:t>
      </w:r>
    </w:p>
    <w:p>
      <w:pPr>
        <w:spacing w:after="0" w:line="176" w:lineRule="exact"/>
        <w:rPr>
          <w:sz w:val="20"/>
          <w:szCs w:val="20"/>
          <w:color w:val="auto"/>
        </w:rPr>
      </w:pPr>
    </w:p>
    <w:p>
      <w:pPr>
        <w:ind w:firstLine="473"/>
        <w:spacing w:after="0" w:line="268" w:lineRule="auto"/>
        <w:rPr>
          <w:sz w:val="20"/>
          <w:szCs w:val="20"/>
          <w:color w:val="auto"/>
        </w:rPr>
      </w:pPr>
      <w:r>
        <w:rPr>
          <w:rFonts w:ascii="Times New Roman" w:cs="Times New Roman" w:eastAsia="Times New Roman" w:hAnsi="Times New Roman"/>
          <w:sz w:val="18"/>
          <w:szCs w:val="18"/>
          <w:color w:val="auto"/>
        </w:rPr>
        <w:t>We sell our products directly and through an international network of independent retailers, chain stores, distributors, and service providers as well as to manufacturers of vessels, maritime equipment, and vehicles.</w:t>
      </w:r>
    </w:p>
    <w:p>
      <w:pPr>
        <w:spacing w:after="0" w:line="1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sell news, sports, and entertainment media content directly through our KVH Media Group, headquartered in Leeds, England.</w:t>
      </w:r>
    </w:p>
    <w:p>
      <w:pPr>
        <w:spacing w:after="0" w:line="240" w:lineRule="exact"/>
        <w:rPr>
          <w:sz w:val="20"/>
          <w:szCs w:val="20"/>
          <w:color w:val="auto"/>
        </w:rPr>
      </w:pPr>
    </w:p>
    <w:p>
      <w:pPr>
        <w:ind w:firstLine="473"/>
        <w:spacing w:after="0" w:line="268" w:lineRule="auto"/>
        <w:rPr>
          <w:sz w:val="20"/>
          <w:szCs w:val="20"/>
          <w:color w:val="auto"/>
        </w:rPr>
      </w:pPr>
      <w:r>
        <w:rPr>
          <w:rFonts w:ascii="Times New Roman" w:cs="Times New Roman" w:eastAsia="Times New Roman" w:hAnsi="Times New Roman"/>
          <w:sz w:val="18"/>
          <w:szCs w:val="18"/>
          <w:color w:val="auto"/>
        </w:rPr>
        <w:t>Our European headquarters, which is located in Denmark, coordinates our sales, marketing, and support efforts for our products in Europe, the Middle East, and Africa. Our Asia-Pacific headquarters are managed through our office in Singapore.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42" w:lineRule="exact"/>
        <w:rPr>
          <w:sz w:val="20"/>
          <w:szCs w:val="20"/>
          <w:color w:val="auto"/>
        </w:rPr>
      </w:pPr>
    </w:p>
    <w:p>
      <w:pPr>
        <w:jc w:val="both"/>
        <w:ind w:firstLine="473"/>
        <w:spacing w:after="0" w:line="246" w:lineRule="auto"/>
        <w:rPr>
          <w:sz w:val="20"/>
          <w:szCs w:val="20"/>
          <w:color w:val="auto"/>
        </w:rPr>
      </w:pPr>
      <w:r>
        <w:rPr>
          <w:rFonts w:ascii="Times New Roman" w:cs="Times New Roman" w:eastAsia="Times New Roman" w:hAnsi="Times New Roman"/>
          <w:sz w:val="18"/>
          <w:szCs w:val="18"/>
          <w:color w:val="auto"/>
        </w:rPr>
        <w:t>We currently hold intellectual property rights relating to various aspects of our hardware products, software and services. We believe that our ability to compete effectively depends in part on our ability to protect these intellectual property rights and our proprietary information. We rely primarily on patent, copyright and trade secret laws, trademarks, service marks, trade dress, confidentiality procedures, and licensing arrangements to protect our intellectual property rights in the U.S. and a select number of other countries where we determine that such protection is beneficial. When appropriate, we seek to file patent applications to protect innovations arising from our research, development and design activities. As of December 31, 2023, our patent portfolio included approximately 9 U.S. and foreign issued patents, including utility patents, design patents and others and one pending U.S. patent application. We also register our trademarks in the United States and other key international markets where we do business. Our patents will expire at various dates between October 2024 and May 2037. We enter into confidentiality agreements with our consultants, key employees, and sales representatives and maintain controls over access to and distribution of our technology, software, and other proprietary information.</w:t>
      </w:r>
    </w:p>
    <w:p>
      <w:pPr>
        <w:spacing w:after="0" w:line="220"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From time to time, we have faced claims by third parties that our products or technologies infringe their patents or other intellectual property rights. We do not conduct exhaustive patent searches to determine whether the technology used in our products infringes patents held by third parties. In addition, product development is inherently uncertain in a rapidly evolving technological environment in which there may be numerous patent applications pending, many of which are confidential when filed, with regard to similar technologies.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42" w:lineRule="exact"/>
        <w:rPr>
          <w:sz w:val="20"/>
          <w:szCs w:val="20"/>
          <w:color w:val="auto"/>
        </w:rPr>
      </w:pPr>
    </w:p>
    <w:p>
      <w:pPr>
        <w:jc w:val="both"/>
        <w:ind w:firstLine="473"/>
        <w:spacing w:after="0" w:line="331" w:lineRule="auto"/>
        <w:rPr>
          <w:sz w:val="20"/>
          <w:szCs w:val="20"/>
          <w:color w:val="auto"/>
        </w:rPr>
      </w:pPr>
      <w:r>
        <w:rPr>
          <w:rFonts w:ascii="Times New Roman" w:cs="Times New Roman" w:eastAsia="Times New Roman" w:hAnsi="Times New Roman"/>
          <w:sz w:val="16"/>
          <w:szCs w:val="16"/>
          <w:color w:val="auto"/>
        </w:rPr>
        <w:t>Manufacturing operations for our products consist of light manufacture, final assembly and testing. We manufacture, warehouse and distribute our products at our facilities in Middletown, Rhode Island. Our manufacturing processes are controlled by an ISO 9001:2015-certified quality standards program.</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 Components and Services</w:t>
      </w:r>
    </w:p>
    <w:p>
      <w:pPr>
        <w:spacing w:after="0" w:line="242"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We purchase raw materials and most of the components used in our various manufacturing processes, such as printed circuit boards, injection-molded plastic parts, machined metal components, connectors and housings. In addition, we purchase certain services, predominantly networking and mobile broadband services, to support the delivery of our solutions.</w:t>
      </w:r>
    </w:p>
    <w:p>
      <w:pPr>
        <w:spacing w:after="0" w:line="205" w:lineRule="exact"/>
        <w:rPr>
          <w:sz w:val="20"/>
          <w:szCs w:val="20"/>
          <w:color w:val="auto"/>
        </w:rPr>
      </w:pPr>
    </w:p>
    <w:p>
      <w:pPr>
        <w:jc w:val="both"/>
        <w:ind w:firstLine="473"/>
        <w:spacing w:after="0" w:line="247" w:lineRule="auto"/>
        <w:rPr>
          <w:sz w:val="20"/>
          <w:szCs w:val="20"/>
          <w:color w:val="auto"/>
        </w:rPr>
      </w:pPr>
      <w:r>
        <w:rPr>
          <w:rFonts w:ascii="Times New Roman" w:cs="Times New Roman" w:eastAsia="Times New Roman" w:hAnsi="Times New Roman"/>
          <w:sz w:val="18"/>
          <w:szCs w:val="18"/>
          <w:color w:val="auto"/>
        </w:rPr>
        <w:t>The materials, molds and dies, subassemblies and components purchased from other manufacturers, and other materials and supplies used in our manufacturing processes have generally been available from a variety of sources. We believe there are a number of acceptable vendors for the components we purchase. We regularly evaluate both domestic and foreign suppliers for quality, dependability and cost effectiveness. From time to time the cost and availability of materials and services is affected by the demands of other industries, as well as other factors. Whenever practical, we seek to establish multiple sources for the purchase of raw materials, components and services to achieve competitive pricing, maintain flexibility, reduce tariff exposure, and protect against supply disruption. When possible, we employ a company-wide procurement strategy designed to reduce the purchase price of materials, purchased components and services.</w:t>
      </w:r>
    </w:p>
    <w:p>
      <w:pPr>
        <w:spacing w:after="0" w:line="218" w:lineRule="exact"/>
        <w:rPr>
          <w:sz w:val="20"/>
          <w:szCs w:val="20"/>
          <w:color w:val="auto"/>
        </w:rPr>
      </w:pPr>
    </w:p>
    <w:p>
      <w:pPr>
        <w:jc w:val="both"/>
        <w:ind w:firstLine="473"/>
        <w:spacing w:after="0" w:line="280" w:lineRule="auto"/>
        <w:rPr>
          <w:sz w:val="20"/>
          <w:szCs w:val="20"/>
          <w:color w:val="auto"/>
        </w:rPr>
      </w:pPr>
      <w:r>
        <w:rPr>
          <w:rFonts w:ascii="Times New Roman" w:cs="Times New Roman" w:eastAsia="Times New Roman" w:hAnsi="Times New Roman"/>
          <w:sz w:val="16"/>
          <w:szCs w:val="16"/>
          <w:color w:val="auto"/>
        </w:rPr>
        <w:t>For reasons of quality assurance, scarcity or cost effectiveness, certain components and raw materials used in the manufacturing of our products, as well as certain services utilized in the delivery of our solutions, are available only from a limited number of suppliers or from a sole source supplier. We work with our suppliers to develop contingency plans intended to assure continuity of supply while maintaining high quality and reliability, and in some cases, we have established long-term supply contracts with our suppliers. Due to the nature of certain raw materials, purchased components and services, we may not be able to quickly establish additional or replacement sources for certain components, materials or services. In the event that we are unable to obtain sufficient quantities of raw materials or components or unable to obtain sufficient access to the services needed to deliver our solutions on commercially reasonable terms or in a timely manner, our ability to manufacture and deliver our products and services on a timely and cost-competitive basis may be compromised, which may have a material adverse effect on our business, financial condition and results of operations. During the year ended December 31, 2023, we continued to experience delays in the availability and delivery of certain raw material components. We also experienced increased raw material costs. We are continuing to monitor global developments, including the impact of inflation, and are prepared to implement actions that we determine to be necessary to sustain our business.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 and Seasonality</w:t>
      </w:r>
    </w:p>
    <w:p>
      <w:pPr>
        <w:spacing w:after="0" w:line="242"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We hold significant inventory to support our customers and provide prompt delivery of finished goods. As a consequence, we expend substantial working capital in advance of receipt of customer orders. We expect to increase our inventory substantially as we ramp up production during the first and second quarters of 2024 in order to generate a targeted amount of inventory of maritime satellite connectivity and satellite television terminals to meet anticipated demand, as we will then cease substantially all manufacturing activity at the Middletown facility by the end of the second quarter of 2024.</w:t>
      </w:r>
    </w:p>
    <w:p>
      <w:pPr>
        <w:spacing w:after="0" w:line="208"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Our leisure marine business is highly seasonal, and seasonality can also impact our commercial marine business. Historically, we have generated the majority of our marine leisure product revenues during the first and second quarters of each year, and these revenues typically decline in the third and fourth quarters of each year. Temporary suspensions of our airtime services typically increase in the fourth and first quarters of each year as boats are placed out of service during the winter months.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42"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We encounter intense competition in the markets we serve, and we expect the intensity of competition to continue to increase in the future. Many of our primary competitors are large, well-established companies, many have substantially greater financial, managerial, technical, marketing, operational, and other resources than we do, and others have entered the markets with significantly disruptive new technology and services.</w:t>
      </w:r>
    </w:p>
    <w:p>
      <w:pPr>
        <w:spacing w:after="0" w:line="205"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In the marine market for high-speed Internet, voice, fax, and data services, we compete primarily with Inmarsat, Marlink, Speedcast, Viasat and Network Innovations. More recently, SpaceX's Starlink has emerged as a significant competitor with flat-</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panel, electronically steered array (ESA) terminals and its new LEO network. Other LEO services, such as Eutelsat OneWeb, are also entering the market. In addition, we face some competition from providers of low-speed data services, which include Inmarsat and Iridium Satellite LLC.</w:t>
      </w:r>
    </w:p>
    <w:p>
      <w:pPr>
        <w:spacing w:after="0" w:line="195"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In the marine market for voice, fax, data, and Internet communications equipment, we compete primarily with Intellian and Cobham SATCOM with regard to parabolic antennas. The emergence of ESA terminals from companies like Starlink has significantly increased competitive pressure on traditional parabolic antennas.</w:t>
      </w:r>
    </w:p>
    <w:p>
      <w:pPr>
        <w:spacing w:after="0" w:line="2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 the markets for media content, we compete primarily with Swank Motion Pictures, Baze Technology, and Newspapersdirect Inc.</w:t>
      </w:r>
    </w:p>
    <w:p>
      <w:pPr>
        <w:spacing w:after="0" w:line="240"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In the marine market for satellite TV equipment, we compete primarily with Intellian, Cobham SATCOM and Raymarine (Intellian made). Traditional satellite TV products and services in the marine market also face pressure from the rising use of streaming services, which are more practical in marine applications following the launch of high-speed, lower-cost LEO services.</w:t>
      </w:r>
    </w:p>
    <w:p>
      <w:pPr>
        <w:spacing w:after="0" w:line="205"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In the market for land mobile satellite TV equipment, we compete primarily with King Controls and Winegard Company as well as with Starlink and streaming services.</w:t>
      </w:r>
    </w:p>
    <w:p>
      <w:pPr>
        <w:spacing w:after="0" w:line="195"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In the markets for airtime services, the principal competitive factors are price, geographic coverage, data speed, and value-added services. In the markets for media content, the principal competitive factors are price, license rights, and distribution. In the markets for mobile satellite connectivity products, the principal competitive factors are price, product size, features, design, performance, and reliability. As noted above, as a result of increased competition, we are winding down our product manufacturing operations. We currently expect to continue to offer our products into 2025 as part of our plan to gradually transition customers to third-party hardware.</w:t>
      </w:r>
    </w:p>
    <w:p>
      <w:pPr>
        <w:spacing w:after="0" w:line="214"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In our markets for airtime services and media content, we believe that we compete favorably with respect to a majority of these factors based on our existing products and services, our new vendor relationships and services such as our agreement with Eutelsat OneWeb, and our expanding suite of integrated solutions with advanced network and bandwidth management. However, there can be no assurance that we will continue to do so.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42" w:lineRule="exact"/>
        <w:rPr>
          <w:sz w:val="20"/>
          <w:szCs w:val="20"/>
          <w:color w:val="auto"/>
        </w:rPr>
      </w:pPr>
    </w:p>
    <w:p>
      <w:pPr>
        <w:jc w:val="both"/>
        <w:ind w:firstLine="473"/>
        <w:spacing w:after="0" w:line="282" w:lineRule="auto"/>
        <w:rPr>
          <w:sz w:val="20"/>
          <w:szCs w:val="20"/>
          <w:color w:val="auto"/>
        </w:rPr>
      </w:pPr>
      <w:r>
        <w:rPr>
          <w:rFonts w:ascii="Times New Roman" w:cs="Times New Roman" w:eastAsia="Times New Roman" w:hAnsi="Times New Roman"/>
          <w:sz w:val="16"/>
          <w:szCs w:val="16"/>
          <w:color w:val="auto"/>
        </w:rPr>
        <w:t>Focused, efficient investments in research and development are important to our future growth and competitive position in the marketplace. Our research and development efforts are directly related to timely development of new and enhanced services and related products that are central to our core business strategy and our ability to drive profitable and sustainable growth. The industries in which we compete are subject to rapid technological developments, evolving industry standards, changes in customer requirements, and new service and product introductions and enhancements. As a result, our success depends in part upon our ability, on a cost-effective and timely basis, to continue to enhance our existing services and to develop and introduce new products and services that improve performance and meet customers’ operational and cost requirements. Our current research and development activities relate to cellular product and service development, enhancing our VSAT product lines with new features desired by our customers, and integrating available and emerging non-geostationary satellite orbit (NGSO) products and services, specifically Starlink and OneWeb, into our overall maritime offering.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42"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Our manufacturing operations are subject to various laws governing the protection of the environment and our employees. These laws and regulations are subject to change, and any such change may require us to improve our technologies, incur expenditures, or both, in order to comply with such laws and regulations.</w:t>
      </w:r>
    </w:p>
    <w:p>
      <w:pPr>
        <w:spacing w:after="0" w:line="205" w:lineRule="exact"/>
        <w:rPr>
          <w:sz w:val="20"/>
          <w:szCs w:val="20"/>
          <w:color w:val="auto"/>
        </w:rPr>
      </w:pPr>
    </w:p>
    <w:p>
      <w:pPr>
        <w:jc w:val="both"/>
        <w:ind w:firstLine="473"/>
        <w:spacing w:after="0" w:line="288" w:lineRule="auto"/>
        <w:rPr>
          <w:sz w:val="20"/>
          <w:szCs w:val="20"/>
          <w:color w:val="auto"/>
        </w:rPr>
      </w:pPr>
      <w:r>
        <w:rPr>
          <w:rFonts w:ascii="Times New Roman" w:cs="Times New Roman" w:eastAsia="Times New Roman" w:hAnsi="Times New Roman"/>
          <w:sz w:val="16"/>
          <w:szCs w:val="16"/>
          <w:color w:val="auto"/>
        </w:rPr>
        <w:t>We are also subject to the laws and regulations of the U.S. and foreign jurisdictions in which we offer and sell our satellite communication products and services, including those of the European Union, Brazil, Norway, Singapore, Japan and India. Many of the countries where our customers use our products and services have licensing and regulatory requirements for the importation and use of satellite communications and reception equipment, including the use of such equipment in territorial waters, the transmission of satellite signals on certain radio frequencies, the transmission of VoIP services using such equipment, and, in some cases, the reception of certain video programming services. In the U.S., many of these matters are regulated by the Federal Communications Commission.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As a result of our international operations, we are subject to a number of additional legal requirements, including the U.S. Foreign Corrupt Practices Act, the U.K. Bribery Act and the customs, export, trade sanctions and anti-boycott laws of the United States, including those administered by the U.S. Customs and Border Protection, the Bureau of Industry and Security, the Department of Commerce, the Department of State, and the Office of Foreign Assets Control of the Treasury Department, as well as those of other nations in which we do business. Our operations are also subject to various domestic and international privacy laws, including the European Union’s General Data Protection Regulation.</w:t>
      </w:r>
    </w:p>
    <w:p>
      <w:pPr>
        <w:spacing w:after="0" w:line="214"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These laws and regulations, as well as the interpretation and application of these laws and regulations, are subject to change, and any such change may affect our ability to offer and sell existing and planned satellite communications products and services.</w:t>
      </w:r>
    </w:p>
    <w:p>
      <w:pPr>
        <w:spacing w:after="0" w:line="1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For more information, see “Risk Factors – Risks related to government regulation.”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KVH Team Demographics</w:t>
      </w:r>
    </w:p>
    <w:p>
      <w:pPr>
        <w:spacing w:after="0" w:line="242"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KVH team members are essential to the success of KVH. We had 345 team members as of December 31, 2023, including full-time employees, part-time employees, and long-term contractors. The figures in this section provide information as of December 31, 2023. In February 2024, we announced a planned headcount reduction of 75 employees, which we expect to complete by the end of the second quarter of 2024.</w:t>
      </w:r>
    </w:p>
    <w:p>
      <w:pPr>
        <w:spacing w:after="0" w:line="250" w:lineRule="exact"/>
        <w:rPr>
          <w:sz w:val="20"/>
          <w:szCs w:val="20"/>
          <w:color w:val="auto"/>
        </w:rPr>
      </w:pPr>
    </w:p>
    <w:tbl>
      <w:tblPr>
        <w:tblLayout w:type="fixed"/>
        <w:tblInd w:w="2020" w:type="dxa"/>
        <w:tblCellMar>
          <w:top w:w="0" w:type="dxa"/>
          <w:left w:w="0" w:type="dxa"/>
          <w:bottom w:w="0" w:type="dxa"/>
          <w:right w:w="0" w:type="dxa"/>
        </w:tblCellMar>
      </w:tblPr>
      <w:tr>
        <w:trPr>
          <w:trHeight w:val="242"/>
        </w:trPr>
        <w:tc>
          <w:tcPr>
            <w:tcW w:w="2060" w:type="dxa"/>
            <w:vAlign w:val="bottom"/>
            <w:shd w:val="clear" w:color="auto" w:fill="CCEEFF"/>
          </w:tcPr>
          <w:p>
            <w:pPr>
              <w:spacing w:after="0"/>
              <w:rPr>
                <w:sz w:val="21"/>
                <w:szCs w:val="21"/>
                <w:color w:val="auto"/>
              </w:rPr>
            </w:pPr>
          </w:p>
        </w:tc>
        <w:tc>
          <w:tcPr>
            <w:tcW w:w="30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KVH Team Member Headcount</w:t>
            </w:r>
          </w:p>
        </w:tc>
        <w:tc>
          <w:tcPr>
            <w:tcW w:w="2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2060" w:type="dxa"/>
            <w:vAlign w:val="bottom"/>
            <w:vMerge w:val="restart"/>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3020" w:type="dxa"/>
            <w:vAlign w:val="bottom"/>
            <w:shd w:val="clear" w:color="auto" w:fill="CCEEFF"/>
          </w:tcPr>
          <w:p>
            <w:pPr>
              <w:jc w:val="right"/>
              <w:ind w:right="192"/>
              <w:spacing w:after="0" w:line="178" w:lineRule="exact"/>
              <w:rPr>
                <w:sz w:val="20"/>
                <w:szCs w:val="20"/>
                <w:color w:val="auto"/>
              </w:rPr>
            </w:pPr>
            <w:r>
              <w:rPr>
                <w:rFonts w:ascii="Times New Roman" w:cs="Times New Roman" w:eastAsia="Times New Roman" w:hAnsi="Times New Roman"/>
                <w:sz w:val="18"/>
                <w:szCs w:val="18"/>
                <w:b w:val="1"/>
                <w:bCs w:val="1"/>
                <w:color w:val="auto"/>
              </w:rPr>
              <w:t>Number at December 31,</w:t>
            </w:r>
          </w:p>
        </w:tc>
        <w:tc>
          <w:tcPr>
            <w:tcW w:w="2140" w:type="dxa"/>
            <w:vAlign w:val="bottom"/>
            <w:shd w:val="clear" w:color="auto" w:fill="CCEEFF"/>
          </w:tcPr>
          <w:p>
            <w:pPr>
              <w:jc w:val="right"/>
              <w:ind w:right="132"/>
              <w:spacing w:after="0" w:line="178" w:lineRule="exact"/>
              <w:rPr>
                <w:sz w:val="20"/>
                <w:szCs w:val="20"/>
                <w:color w:val="auto"/>
              </w:rPr>
            </w:pPr>
            <w:r>
              <w:rPr>
                <w:rFonts w:ascii="Times New Roman" w:cs="Times New Roman" w:eastAsia="Times New Roman" w:hAnsi="Times New Roman"/>
                <w:sz w:val="18"/>
                <w:szCs w:val="18"/>
                <w:b w:val="1"/>
                <w:bCs w:val="1"/>
                <w:color w:val="auto"/>
              </w:rPr>
              <w:t>Number After February</w:t>
            </w:r>
          </w:p>
        </w:tc>
        <w:tc>
          <w:tcPr>
            <w:tcW w:w="0" w:type="dxa"/>
            <w:vAlign w:val="bottom"/>
          </w:tcPr>
          <w:p>
            <w:pPr>
              <w:spacing w:after="0"/>
              <w:rPr>
                <w:sz w:val="1"/>
                <w:szCs w:val="1"/>
                <w:color w:val="auto"/>
              </w:rPr>
            </w:pPr>
          </w:p>
        </w:tc>
      </w:tr>
      <w:tr>
        <w:trPr>
          <w:trHeight w:val="236"/>
        </w:trPr>
        <w:tc>
          <w:tcPr>
            <w:tcW w:w="2060" w:type="dxa"/>
            <w:vAlign w:val="bottom"/>
            <w:tcBorders>
              <w:bottom w:val="single" w:sz="8" w:color="auto"/>
            </w:tcBorders>
            <w:vMerge w:val="continue"/>
            <w:shd w:val="clear" w:color="auto" w:fill="CCEEFF"/>
          </w:tcPr>
          <w:p>
            <w:pPr>
              <w:spacing w:after="0"/>
              <w:rPr>
                <w:sz w:val="20"/>
                <w:szCs w:val="20"/>
                <w:color w:val="auto"/>
              </w:rPr>
            </w:pPr>
          </w:p>
        </w:tc>
        <w:tc>
          <w:tcPr>
            <w:tcW w:w="3020" w:type="dxa"/>
            <w:vAlign w:val="bottom"/>
            <w:tcBorders>
              <w:bottom w:val="single" w:sz="8" w:color="auto"/>
            </w:tcBorders>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21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2024 Reduction in Force</w:t>
            </w:r>
          </w:p>
        </w:tc>
        <w:tc>
          <w:tcPr>
            <w:tcW w:w="0" w:type="dxa"/>
            <w:vAlign w:val="bottom"/>
          </w:tcPr>
          <w:p>
            <w:pPr>
              <w:spacing w:after="0"/>
              <w:rPr>
                <w:sz w:val="1"/>
                <w:szCs w:val="1"/>
                <w:color w:val="auto"/>
              </w:rPr>
            </w:pPr>
          </w:p>
        </w:tc>
      </w:tr>
      <w:tr>
        <w:trPr>
          <w:trHeight w:val="217"/>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Full-Time Employees</w:t>
            </w:r>
          </w:p>
        </w:tc>
        <w:tc>
          <w:tcPr>
            <w:tcW w:w="3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325</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2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Part-Time Employees</w:t>
            </w:r>
          </w:p>
        </w:tc>
        <w:tc>
          <w:tcPr>
            <w:tcW w:w="3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2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Contractors</w:t>
            </w:r>
          </w:p>
        </w:tc>
        <w:tc>
          <w:tcPr>
            <w:tcW w:w="3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7"/>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345</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Our team members are directly responsible for the creation, development, manufacture, marketing, sale, repair and support of our products and services. Because we sell and support our products globally, we have a globally distributed workforce to manufacture products in the U.S. and support our customers in the U.S. and internationally: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tbl>
      <w:tblPr>
        <w:tblLayout w:type="fixed"/>
        <w:tblInd w:w="2020" w:type="dxa"/>
        <w:tblCellMar>
          <w:top w:w="0" w:type="dxa"/>
          <w:left w:w="0" w:type="dxa"/>
          <w:bottom w:w="0" w:type="dxa"/>
          <w:right w:w="0" w:type="dxa"/>
        </w:tblCellMar>
      </w:tblPr>
      <w:tr>
        <w:trPr>
          <w:trHeight w:val="242"/>
        </w:trPr>
        <w:tc>
          <w:tcPr>
            <w:tcW w:w="2040" w:type="dxa"/>
            <w:vAlign w:val="bottom"/>
            <w:shd w:val="clear" w:color="auto" w:fill="CCEEFF"/>
          </w:tcPr>
          <w:p>
            <w:pPr>
              <w:spacing w:after="0"/>
              <w:rPr>
                <w:sz w:val="21"/>
                <w:szCs w:val="21"/>
                <w:color w:val="auto"/>
              </w:rPr>
            </w:pPr>
          </w:p>
        </w:tc>
        <w:tc>
          <w:tcPr>
            <w:tcW w:w="30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KVH Team Member Headcount</w:t>
            </w:r>
          </w:p>
        </w:tc>
        <w:tc>
          <w:tcPr>
            <w:tcW w:w="2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2040" w:type="dxa"/>
            <w:vAlign w:val="bottom"/>
            <w:vMerge w:val="restart"/>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3040" w:type="dxa"/>
            <w:vAlign w:val="bottom"/>
            <w:shd w:val="clear" w:color="auto" w:fill="CCEEFF"/>
          </w:tcPr>
          <w:p>
            <w:pPr>
              <w:jc w:val="right"/>
              <w:ind w:right="192"/>
              <w:spacing w:after="0" w:line="178" w:lineRule="exact"/>
              <w:rPr>
                <w:sz w:val="20"/>
                <w:szCs w:val="20"/>
                <w:color w:val="auto"/>
              </w:rPr>
            </w:pPr>
            <w:r>
              <w:rPr>
                <w:rFonts w:ascii="Times New Roman" w:cs="Times New Roman" w:eastAsia="Times New Roman" w:hAnsi="Times New Roman"/>
                <w:sz w:val="18"/>
                <w:szCs w:val="18"/>
                <w:b w:val="1"/>
                <w:bCs w:val="1"/>
                <w:color w:val="auto"/>
              </w:rPr>
              <w:t>Number at December 31,</w:t>
            </w:r>
          </w:p>
        </w:tc>
        <w:tc>
          <w:tcPr>
            <w:tcW w:w="2140" w:type="dxa"/>
            <w:vAlign w:val="bottom"/>
            <w:shd w:val="clear" w:color="auto" w:fill="CCEEFF"/>
          </w:tcPr>
          <w:p>
            <w:pPr>
              <w:jc w:val="right"/>
              <w:ind w:right="132"/>
              <w:spacing w:after="0" w:line="178" w:lineRule="exact"/>
              <w:rPr>
                <w:sz w:val="20"/>
                <w:szCs w:val="20"/>
                <w:color w:val="auto"/>
              </w:rPr>
            </w:pPr>
            <w:r>
              <w:rPr>
                <w:rFonts w:ascii="Times New Roman" w:cs="Times New Roman" w:eastAsia="Times New Roman" w:hAnsi="Times New Roman"/>
                <w:sz w:val="18"/>
                <w:szCs w:val="18"/>
                <w:b w:val="1"/>
                <w:bCs w:val="1"/>
                <w:color w:val="auto"/>
              </w:rPr>
              <w:t>Number After February</w:t>
            </w:r>
          </w:p>
        </w:tc>
        <w:tc>
          <w:tcPr>
            <w:tcW w:w="0" w:type="dxa"/>
            <w:vAlign w:val="bottom"/>
          </w:tcPr>
          <w:p>
            <w:pPr>
              <w:spacing w:after="0"/>
              <w:rPr>
                <w:sz w:val="1"/>
                <w:szCs w:val="1"/>
                <w:color w:val="auto"/>
              </w:rPr>
            </w:pPr>
          </w:p>
        </w:tc>
      </w:tr>
      <w:tr>
        <w:trPr>
          <w:trHeight w:val="237"/>
        </w:trPr>
        <w:tc>
          <w:tcPr>
            <w:tcW w:w="2040" w:type="dxa"/>
            <w:vAlign w:val="bottom"/>
            <w:vMerge w:val="continue"/>
            <w:shd w:val="clear" w:color="auto" w:fill="CCEEFF"/>
          </w:tcPr>
          <w:p>
            <w:pPr>
              <w:spacing w:after="0"/>
              <w:rPr>
                <w:sz w:val="20"/>
                <w:szCs w:val="20"/>
                <w:color w:val="auto"/>
              </w:rPr>
            </w:pPr>
          </w:p>
        </w:tc>
        <w:tc>
          <w:tcPr>
            <w:tcW w:w="3040" w:type="dxa"/>
            <w:vAlign w:val="bottom"/>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2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2024 Reduction in Force</w:t>
            </w:r>
          </w:p>
        </w:tc>
        <w:tc>
          <w:tcPr>
            <w:tcW w:w="0" w:type="dxa"/>
            <w:vAlign w:val="bottom"/>
          </w:tcPr>
          <w:p>
            <w:pPr>
              <w:spacing w:after="0"/>
              <w:rPr>
                <w:sz w:val="1"/>
                <w:szCs w:val="1"/>
                <w:color w:val="auto"/>
              </w:rPr>
            </w:pP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182</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5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Philippines</w:t>
            </w:r>
          </w:p>
        </w:tc>
        <w:tc>
          <w:tcPr>
            <w:tcW w:w="3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3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Denmark</w:t>
            </w:r>
          </w:p>
        </w:tc>
        <w:tc>
          <w:tcPr>
            <w:tcW w:w="3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3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3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Norway</w:t>
            </w:r>
          </w:p>
        </w:tc>
        <w:tc>
          <w:tcPr>
            <w:tcW w:w="3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Greece</w:t>
            </w:r>
          </w:p>
        </w:tc>
        <w:tc>
          <w:tcPr>
            <w:tcW w:w="3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3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3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Cyprus</w:t>
            </w:r>
          </w:p>
        </w:tc>
        <w:tc>
          <w:tcPr>
            <w:tcW w:w="3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3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3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3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3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Poland</w:t>
            </w:r>
          </w:p>
        </w:tc>
        <w:tc>
          <w:tcPr>
            <w:tcW w:w="3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2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South Africa</w:t>
            </w:r>
          </w:p>
        </w:tc>
        <w:tc>
          <w:tcPr>
            <w:tcW w:w="3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7"/>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345</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Approximately 61 team members, or 18%, are directly involved in supporting our technology in positions such as engineers, technicians, or software developers. Of the 61 team members, 19 were impacted by the previously mentioned headcount reduction.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Employee Engagement</w:t>
      </w:r>
    </w:p>
    <w:p>
      <w:pPr>
        <w:spacing w:after="0" w:line="242"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We believe we generally have strong relationships with our workforce. We do not yet know the long-term impact of our recent workforce reduction on employee morale. In 2023, our global turnover rate was 12%, including voluntary and involuntary separations. Among our 41 key executive leaders and most critical individual technology contributors, our turnover rate was 5% in 2023.</w:t>
      </w:r>
    </w:p>
    <w:p>
      <w:pPr>
        <w:spacing w:after="0" w:line="205"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The average length of employee service is 10.5 years. The continuity of our employee base is important to the success of our business, as our employees have deep knowledge of our products and are critical to the services that we provide to our customers.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Inclusion and Diversity</w:t>
      </w:r>
    </w:p>
    <w:p>
      <w:pPr>
        <w:spacing w:after="0" w:line="242"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KVH strives to recruit and retain a diverse and inclusive workforce. We believe this approach enables better business decisions, enhanced product development, and superior customer service. Our diversity and inclusion principles are also reflected in our employee training, in particular with respect to our policies against harassment in the workplace.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Competitive Pay and Benefits</w:t>
      </w:r>
    </w:p>
    <w:p>
      <w:pPr>
        <w:spacing w:after="0" w:line="242"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KVH’s compensation programs are designed to align the compensation of our employees with KVH’s performance and provide incentives to attract, retain and motivate employees to achieve superior results. The structure of our compensation programs balances incentive earnings for both short-term and long-term performance. Specifically:</w:t>
      </w:r>
    </w:p>
    <w:p>
      <w:pPr>
        <w:spacing w:after="0" w:line="205" w:lineRule="exact"/>
        <w:rPr>
          <w:sz w:val="20"/>
          <w:szCs w:val="20"/>
          <w:color w:val="auto"/>
        </w:rPr>
      </w:pPr>
    </w:p>
    <w:p>
      <w:pPr>
        <w:ind w:left="640" w:hanging="319"/>
        <w:spacing w:after="0" w:line="268" w:lineRule="auto"/>
        <w:tabs>
          <w:tab w:leader="none" w:pos="6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employee wages that we believe are competitive and consistent with employee positions, skill levels, experience, knowledge, and geographic location.</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review compensation and benefits surveys to obtain relevant industry data in order to benchmark our practices against those of industry peers.</w:t>
      </w:r>
    </w:p>
    <w:p>
      <w:pPr>
        <w:spacing w:after="0" w:line="21" w:lineRule="exact"/>
        <w:rPr>
          <w:rFonts w:ascii="Times New Roman" w:cs="Times New Roman" w:eastAsia="Times New Roman" w:hAnsi="Times New Roman"/>
          <w:sz w:val="18"/>
          <w:szCs w:val="18"/>
          <w:color w:val="auto"/>
        </w:rPr>
      </w:pPr>
    </w:p>
    <w:p>
      <w:pPr>
        <w:ind w:left="640" w:hanging="319"/>
        <w:spacing w:after="0" w:line="243" w:lineRule="auto"/>
        <w:tabs>
          <w:tab w:leader="none" w:pos="6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seek to align the interests of our executives with those of our shareholders by paying a significant portion of our executives’ total compensation in the form of equity awards, which increase in value as the price of our common stock increases.</w:t>
      </w:r>
    </w:p>
    <w:p>
      <w:pPr>
        <w:spacing w:after="0" w:line="1" w:lineRule="exact"/>
        <w:rPr>
          <w:rFonts w:ascii="Times New Roman" w:cs="Times New Roman" w:eastAsia="Times New Roman" w:hAnsi="Times New Roman"/>
          <w:sz w:val="18"/>
          <w:szCs w:val="18"/>
          <w:color w:val="auto"/>
        </w:rPr>
      </w:pPr>
    </w:p>
    <w:p>
      <w:pPr>
        <w:ind w:left="640" w:hanging="319"/>
        <w:spacing w:after="0" w:line="243" w:lineRule="auto"/>
        <w:tabs>
          <w:tab w:leader="none" w:pos="6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salary increases and incentive compensation include adjustments based on merit, which is communicated to employees through our annual review process and upon internal transfers and/or promotions.</w:t>
      </w:r>
    </w:p>
    <w:p>
      <w:pPr>
        <w:spacing w:after="0" w:line="1" w:lineRule="exact"/>
        <w:rPr>
          <w:rFonts w:ascii="Times New Roman" w:cs="Times New Roman" w:eastAsia="Times New Roman" w:hAnsi="Times New Roman"/>
          <w:sz w:val="18"/>
          <w:szCs w:val="18"/>
          <w:color w:val="auto"/>
        </w:rPr>
      </w:pPr>
    </w:p>
    <w:p>
      <w:pPr>
        <w:ind w:left="640" w:hanging="319"/>
        <w:spacing w:after="0" w:line="247" w:lineRule="auto"/>
        <w:tabs>
          <w:tab w:leader="none" w:pos="6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U.S. employees are eligible for health insurance, paid and unpaid leaves, a retirement plan and life and disability/accident coverage, subject to applicable regulations. Benefits for international employees vary by country.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Health and Safety</w:t>
      </w:r>
    </w:p>
    <w:p>
      <w:pPr>
        <w:spacing w:after="0" w:line="242"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We are committed to protecting the health and safety of our employees and others who enter our facilities. In 2023, KVH’s Occupational Safety and Health Administration (OSHA) total recordable incident rate was 2.2%, which is favorable compared to the 2023 OSHA national average of 2.9%.</w:t>
      </w:r>
    </w:p>
    <w:p>
      <w:pPr>
        <w:spacing w:after="0" w:line="195"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We are committed to continued improvements to our safety, health, and wellness programs to meet our employees’ needs, which we believe are critical to attract and retain talent. We believe that creating a safe and supportive workplace is vital to our success.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KVH Team Member Recruitment</w:t>
      </w:r>
    </w:p>
    <w:p>
      <w:pPr>
        <w:spacing w:after="0" w:line="242"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We work diligently to attract the best available talent from a diverse range of sources to meet the current and future demands of our business. We have established relationships with major universities, professional associations, and industry groups to proactively attract talent. In 2023, we hired 11 professional level team members.</w:t>
      </w:r>
    </w:p>
    <w:p>
      <w:pPr>
        <w:spacing w:after="0" w:line="243"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107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88" w:lineRule="exact"/>
        <w:rPr>
          <w:sz w:val="20"/>
          <w:szCs w:val="20"/>
          <w:color w:val="auto"/>
        </w:rPr>
      </w:pPr>
    </w:p>
    <w:p>
      <w:pPr>
        <w:jc w:val="both"/>
        <w:ind w:firstLine="473"/>
        <w:spacing w:after="0" w:line="304" w:lineRule="auto"/>
        <w:rPr>
          <w:sz w:val="20"/>
          <w:szCs w:val="20"/>
          <w:color w:val="auto"/>
        </w:rPr>
      </w:pPr>
      <w:r>
        <w:rPr>
          <w:rFonts w:ascii="Times New Roman" w:cs="Times New Roman" w:eastAsia="Times New Roman" w:hAnsi="Times New Roman"/>
          <w:sz w:val="16"/>
          <w:szCs w:val="16"/>
          <w:i w:val="1"/>
          <w:iCs w:val="1"/>
          <w:color w:val="auto"/>
        </w:rPr>
        <w:t>An investment in our common stock involves a high degree of risk. You should carefully consider the following risk factors in evaluating our business. If any of these risks, or other risks not presently known to us or that we currently believe are not significant, develops into an actual event, then our business, financial condition and results of operations could be adversely affected. If that happens, the market price of our common stock could decline.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our financial performance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a history of losses, and achieving sustained profitability may take longer than we anticipate or may not be achievable.</w:t>
      </w:r>
    </w:p>
    <w:p>
      <w:pPr>
        <w:spacing w:after="0" w:line="24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We recorded substantial losses from continuing operations in each of the last four fiscal years (notwithstanding the income we recognized in 2022 from the sale of the inertial navigation business and in 2021 from the forgiveness of the PPP Loan). Although our continuing operations were profitable in the fourth quarter of 2022 and second quarter of 2023, we may incur losses in the future as we face increasingly stiff competition and as we increase satellite capacity to handle our growing subscriber base. Recent inflation in the prices of goods and services, including wages, has hampered our ability to improve profitability. In order to maintain and improve our competitive position, generate revenue and achieve sustained profitability, we must grow our airtime subscriber base, reduce our bandwidth costs, and continue to introduce new and improved solutions. Our inability to accomplish any of these goals could have a material adverse effect on our revenues, profitability and cash flow, and we cannot assure you when, or whether, we will regain sustained profitability.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Fluctuations in our quarterly net sales and results of operations could depress the market price of our common stock.</w:t>
      </w:r>
    </w:p>
    <w:p>
      <w:pPr>
        <w:spacing w:after="0" w:line="24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quarterly net sales and results of operations could continue to vary significantly for various reasons, many of which are outside our control. For example, product sales declined 48% in the fourth quarter of 2023 compared to the fourth quarter of 2022. You should not rely on quarter-to-quarter comparisons of our results of operations as an indication of future performance. Our net sales or results of operations in a quarter may fall below the expectations of securities analysts or investors. If this occurs, the market price of our common stock could fall significantly. Our results of operations can fluctuate for many reasons, including changes in demand for our products and services; delays in order fulfillment, including as a result of shortages of components and raw materials; the mix of products and services we sell, including the mix of fixed rate and metered contracts for airtime services; our ability to manufacture, test and deliver products in a timely and cost-effective manner; the timing of new service and product introductions by us or our competitors; the scope and success of our investments in research and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development; expenses incurred in pursuing acquisitions and investments; expenses incurred in expanding, maintaining, or improving our global HTS network; market and competitive pricing pressures; unanticipated charges or expenses, such as the aggregate $6.0 million impairment charges to goodwill and long-lived assets we recorded in the third quarter of 2023; the $5.2 million charge related to the inventory write-down, the $3.6 million provision for excess purchase order obligations and the $2.1 million charge for the discontinuation of a project for implementing a new manufacturing-centric accounting system that we recorded in the fourth quarter of 2023; expenses incurred in responding to stockholder activism; general economic climate; seasonality of pleasure boat and recreational vehicle usage; and the impact of supply chain disruptions.</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large portion of our expenses, including expenses for network infrastructure, facilities, equipment, and personnel, are relatively fixed. If our net sales decline or do not grow as we anticipate, we may be unable to maintain or improve our operating margins. Any failure to achieve anticipated net sales could therefore significantly harm our operating results.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material increase in sales of third-party airtime services and products could reduce our gross margins and our profitability.</w:t>
      </w: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gross margin percentage from our VSAT airtime services in most cases significantly exceeds the gross margin percentage from other third-party products and airtime services. To the extent that the mix of airtime services we sell shifts away from VSAT services, our gross profit dollars may decline, perhaps materially, if we are unable to significantly increase revenue on non-VSAT airtime services, which will reduce our profitability.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our operations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planned transition to reliance on third-party hardware products may be unsuccessful.</w:t>
      </w:r>
    </w:p>
    <w:p>
      <w:pPr>
        <w:spacing w:after="0" w:line="24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color w:val="auto"/>
        </w:rPr>
        <w:t>In February 2024, we announced a staged wind-down of our product manufacturing operations, which was driven by reduced demand for our hardware products in the face of intensifying competition. We plan to discontinue our capital-intensive manufacturing activities by the end of the second quarter of 2024 and concentrate instead on growing sales of our multi-orbit, multi-channel, integrated communications solutions, including a transition to rely increasingly, and eventually exclusively, on third-party hardware compatible with our solutions. This multi-year strategy entails significant risks, including the loss of competitive differentiation as a leading manufacturer of award-winning products, the potentially irreversible loss of manufacturing expertise and know-how, increased dependence on third-party manufacturers and suppliers, the loss of control over technological innovations and improvements, significantly lower profit margins on third-party product resales, potential technological incompatibility with third-party hardware, potential additional significant provisions for excess and obsolete inventory and other charges, unanticipated expenses, and increased competition for service customers from product manufacturers. If we were to experience a resurgence in demand for our current products, we may be unable to restart internal production or to engage a third party to reliably manufacture and deliver them on time and at an affordable cost. Accordingly, this strategic transition entails meaningful execution risk, particularly in light of our recently announced reduction-in-force and the resulting loss of experienced employees. The failure to implement a successful transition to a new business model based upon third-party hardware would have a material adverse effect on our business, revenues and results of operations.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future success will depend in part on the services of our executive officers and key employees.</w:t>
      </w:r>
    </w:p>
    <w:p>
      <w:pPr>
        <w:spacing w:after="0" w:line="2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future success depends to a significant degree on the skills and efforts of our executive officers and key employees. Our executive officers and key employees are at-will employees, competition is intense for senior management, and they could terminate their employment with us at any time. We do not maintain key-person life insurance on any of our personnel. Accordingly, the loss of one or more of our executive officers or key employees could have a material adverse effect on our business.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cannot effectively manage changes in our business and continue to attract and retain skilled personnel, our business may suffer.</w:t>
      </w:r>
    </w:p>
    <w:p>
      <w:pPr>
        <w:spacing w:after="0" w:line="24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If we cannot adjust expenses in response to changes in our operations, our results of operations may be harmed. For example, the relatively fixed costs associated with our manufacturing operations prevented us from reducing those costs quickly in response to recent, rapid reductions in demand, resulting in negative product margins. To manage changes in our business effectively, we must, among other things, successfully complete the wind-down of our manufacturing operations, including correctly estimating the number of units to produce; secure appropriate satellite capacity to match demand for airtime services; manage our inventory more effectively, particularly in light of the substantial provision for excess and obsolete inventory that we recorded in the fourth quarter of 2023; effectively manage our working capital; ensure robust cybersecurity protection of</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Company and customer data and systems; and ensure that our procedures and internal controls are revised and updated to remain effective for our smaller workforce and the reduced size and scale of our business operations.</w:t>
      </w:r>
    </w:p>
    <w:p>
      <w:pPr>
        <w:spacing w:after="0" w:line="1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We are highly dependent on qualified personnel at all levels, including our senior management team and other key technical, operational, managerial and sales and marketing personnel, each of whom would be difficult to replace. Our current reduction-in-force increases our dependence on continuing personnel. If we fail to retain and attract the necessary personnel, we may be unable to achieve our business objectives and may lose our competitive position, which could lead to a significant decline in net sales. The current job market for personnel is very competitive, resulting in increased compensation. We face challenges retaining our personnel and attracting new personnel to fulfill our unmet needs, particularly in light of our recent reductions-in-force. Replacing key personnel may be difficult and may take an extended period of time because of the limited number of individuals with the skills and experience to execute our business strategy. We may be unable to identify or employ qualified personnel for any such position on acceptable terms, if at all. We may also need to pay higher compensation than we expect, which would make it more difficult to achieve our goal of sustained profitability.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strategic activities could disrupt our business and affect our results of operations.</w:t>
      </w:r>
    </w:p>
    <w:p>
      <w:pPr>
        <w:spacing w:after="0" w:line="24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color w:val="auto"/>
        </w:rPr>
        <w:t>In response to increasing competitive pressure, we may take additional measures intended to increase profitability and align our business more closely with our current strategic and financial objectives, including engagement with new suppliers, further modifications to our manufacturing arrangements and other cost-reduction efforts. For example, in February 2024 we announced a staged wind-down of our manufacturing operations and a related reduction-in-force of 75 employees, as a result of which we have incurred or expect to incur aggregate charges of approximately $14.2 million, consisting of a $5.2 million non-cash charge related to the inventory write-down, a $3.6 million provision for excess purchase order obligations, approximately $3.3 million of severance charges, and $2.1 million charge for the discontinuation of a project for implementing a new manufacturing-centric accounting system. We may also choose to dispose of assets or make strategic divestitures, such as the sale of our inertial navigation business in August 2022. These efforts may not succeed in improving profitability. Any of these changes could be disruptive to our business and could result in significant expense, including losses on any asset disposition or divestiture, accounting charges for any inventory or technology-related write-offs or any workforce reduction costs, such as those described in earlier risk factors. We could incur significant transaction costs, including for potential transactions that do not proceed. Substantial expense or charges resulting from restructuring activities, dispositions of assets or divestitures could adversely affect our results of operations and use of cash in the periods in which we take these actions. Any disposition of assets or divestiture could also result in the retention of liabilities and expenses that are not assumed by the buyer or the loss of operating income from the divested assets or operations, either of which could negatively impact profitability after any divestiture.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must generate a certain level of service sales in order to maintain or improve our service gross margins.</w:t>
      </w:r>
    </w:p>
    <w:p>
      <w:pPr>
        <w:spacing w:after="0" w:line="2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As a result of our global satellite network infrastructure, we incur certain costs that generally do not vary directly in proportion to the volume of service sales, and we have limited ability to reduce these fixed costs. The cost of our HTS network has increased significantly each year as we have expanded our network to accommodate additional subscriber demand and/or coverage areas. If service sales, including through our AgilePlans subscription model, do not generate the level of revenue that we expect or if those revenues decline, our service gross margins would likely decline. The failure to improve our global HTS service gross margins and unit or subscriber sales would have a material adverse effect on our overall profitability.</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Our ability to compete in the maritime airtime services market will be impaired if we are unable to provide sufficient service capacity to meet customer demand.</w:t>
      </w:r>
    </w:p>
    <w:p>
      <w:pPr>
        <w:spacing w:after="0" w:line="2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currently offer our global HTS VSAT service in the Americas, Europe, the Middle East, Africa, Asia-Pacific, Indian, and Australian and New Zealand waters. We may need to expand capacity in existing coverage areas to support our subscriber base. If we are unable to reach economical agreements with third-party satellite providers to support our global satellite services and its technology or if transponder capacity is unavailable to meet growing demand in a given region, our ability to provide airtime services will be at risk and could reduce the attractiveness of our products and services.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of operations are adversely affected by unseasonably cold weather, prolonged winter conditions, disasters or similar events.</w:t>
      </w:r>
    </w:p>
    <w:p>
      <w:pPr>
        <w:spacing w:after="0" w:line="2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leisure marine business is highly seasonal, and seasonality can also impact our commercial marine business. Historically, we have generated the majority of our leisure marine product revenues during the first and second quarters of each year, and these revenues typically decline in the third and fourth quarters of each year, compared to the first two quarters. Temporary suspensions of our airtime services typically increase in the fourth and first quarters of each year as boats are placed out of</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service during winter months. Our leisure marine business is also significantly affected by the weather. Unseasonably cool weather, prolonged winter conditions, hurricanes, unusual amounts of rain, and natural and other disasters may decrease boating, which could reduce our revenues. Specifically, we may encounter a decrease in new airtime activations as well as an increase in the number of cancellations or temporary suspensions of our airtime service.</w:t>
      </w:r>
    </w:p>
    <w:p>
      <w:pPr>
        <w:spacing w:after="0" w:line="20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b w:val="1"/>
          <w:bCs w:val="1"/>
          <w:color w:val="auto"/>
        </w:rPr>
        <w:t>We are winding down our single manufacturing facility, and any significant disruption to this facility in the near term will impair our ability to deliver our products.</w:t>
      </w:r>
    </w:p>
    <w:p>
      <w:pPr>
        <w:spacing w:after="0" w:line="19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manufacture all of our products at our manufacturing facility in Middletown, Rhode Island, and we have begun to wind down our manufacturing operations at that facility. We currently plan to cease manufacturing products by the end of the second quarter of 2024. Some of our production processes are complex, and we may be unable to respond rapidly to the loss of the use of our production facility. For example, we use some specialized equipment that may take time to replace if it is damaged or becomes unusable for any reason. In that event, shipments would be delayed, which could result in customer or dealer dissatisfaction, loss of sales and damage to our reputation. In light of the wind-down, we may elect to halt production rather than to incur significant expenses to repair or replace manufacturing equipment, which may limit our production and accelerate the loss of product sales.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and strategic relationships may disrupt our operations or adversely affect our results.</w:t>
      </w:r>
    </w:p>
    <w:p>
      <w:pPr>
        <w:spacing w:after="0" w:line="24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We evaluate opportunities to acquire other businesses and pursue other strategic relationships as they arise. The expenses we incur evaluating and pursuing acquisitions and strategic relationships could have a material adverse effect on our results of operations. If we acquire a business, we may be unable to manage it profitably or successfully integrate its operations with our own. Moreover, we may be unable to realize the strategic, financial, operational and other benefits we anticipate, and any acquisition or strategic relationship may increase our operating expenses. Further, our approach to acquisitions and strategic relationships may involve a number of special financial and business risks, such as entry into new and unfamiliar lines of business or markets, which may present challenges or risks that we did not anticipate; entry into new or unfamiliar geographic regions, including exposure to additional tax and regulatory regimes; increased expenses associated with the amortization of acquired intangible assets; increased exposure to fluctuations in foreign currency exchange rates; charges related to any abandoned acquisition; diversion of our management’s time, attention, and resources; loss of key personnel; increased costs to improve or coordinate managerial, operational, financial, and administrative systems, including internal control over financial reporting; dilutive issuances of equity securities; the assumption of legal liabilities; and losses arising from impairment charges associated with goodwill or intangible assets.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our industry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Increasingly intense competition may limit our ability to sell our products and services.</w:t>
      </w:r>
    </w:p>
    <w:p>
      <w:pPr>
        <w:spacing w:after="0" w:line="24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mobile connectivity market is intensely competitive, and we expect the intensity of competition to continue to increase in the future. We may not be able to compete successfully against current and future competitors, which would impair our ability to sell our products and services. Competition continued to intensify significantly in 2023, both from companies that seek to compete primarily on price as well as new, emerging NGSO services, such as Starlink and OneWeb, as well as future LEO services such as Kuiper, Telesat, and others. These companies may continue to implement price reductions and discounts for both products and services, which have required us to reduce our prices or offer discounts in an effort to maintain or increase our market share. The majority of our customers have no long-term commitment and can switch providers without penalty. For example, AgilePlan customers are on month-to-month agreements, and our agreement with the U.S. Coast Guard, a significant government customer, is structured as an indefinite delivery/indefinite quantity contract. The U.S. Coast Guard has advised us that it intends to transition its primary satellite service relationship on the vessels we currently serve to Starlink, as a result of which we currently anticipate a material decline in revenue from the Coast Guard starting in the second quarter of 2024. Current and future competitors have greater financial resources than we do, enabling them to operate at lower margins to gain market share. We believe increased competition contributed materially to the decrease in our product sales in 2023, including unit sales of our VSAT products, and we expect that this trend will continue in future periods.</w:t>
      </w:r>
    </w:p>
    <w:p>
      <w:pPr>
        <w:spacing w:after="0" w:line="200" w:lineRule="exact"/>
        <w:rPr>
          <w:sz w:val="20"/>
          <w:szCs w:val="20"/>
          <w:color w:val="auto"/>
        </w:rPr>
      </w:pPr>
    </w:p>
    <w:p>
      <w:pPr>
        <w:spacing w:after="0" w:line="203"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Some of our VSAT competitors have already leveraged partnerships amongst themselves in order to capture larger combined market share. Further, some of the companies that we depend on to supply us with capacity on satellite communications networks may vertically integrate by introducing their own products and services to compete with ours, which might motivate them to stop providing satellite network capacity to us, or to make it available on less favorable terms.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Starlink LEO service continues to adversely impact our business, particularly within the global leisure segment. A significant number of leisure customers have adopted Starlink systems for both two-way communications as well as streaming, which has impacted both our VSAT Broadband and TracVision businesses. Although our leisure business accounts for less than 15% of our total revenue, competition from Starlink adversely impacted our commercial business as well, particularly our growth in that segment. While we have historically grown the total number of our subscribers in sequential quarters, in the third and fourth quarters of 2023 the total number of our subscribers declined one percent and four percent, respectively, as a result of the net churn in our leisure business and the slower net growth in our commercial business. If this trend continues and we are unable to develop a competitive alternative, it could have a material adverse effect on our revenue, profitability, and cash flow.</w:t>
      </w:r>
    </w:p>
    <w:p>
      <w:pPr>
        <w:spacing w:after="0" w:line="2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In the marine market for high-speed Internet, voice, fax, and data services, we compete primarily with Inmarsat, Marlink, Speedcast, Viasat, and Network Innovations, along with smaller, single-hub regional services. Additionally, we are facing meaningful competition from new NGSO networks such as SpaceX’s Starlink and OneWeb. We also face competition from providers of low-speed data services, which include Inmarsat and Iridium Satellite LLC. In the marine market for satellite TV equipment, we compete primarily with Intellian, Cobham SATCOM and Raymarine (Intellian-made). In the marine market for two-way communications equipment, we compete primarily with Intellian and Cobham SATCOM. In the market for land mobile satellite TV equipment, we compete primarily with King Controls and Winegard Company. In the markets for media content, the KVH Media Group competes primarily with Swank Motion Pictures, Baze Technology, and NewspaperDirect, Inc. Many of our competitors are well-established companies that have substantially greater financial, managerial, technical, marketing, personnel, and other resources than we do, which may help them to compete more effectively against us.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We depend on sole or limited source suppliers, and any disruption in supply could impair our ability to deliver our products on time or at expected cost.</w:t>
      </w:r>
    </w:p>
    <w:p>
      <w:pPr>
        <w:spacing w:after="0" w:line="20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obtain many key components for our products from third-party suppliers, and in some cases we use a single or a limited number of suppliers. Any interruption in supply could impair our ability to deliver our products until we identify and qualify a new source of supply, which could take several weeks, months or longer and could increase our costs significantly. For example, the global chip shortage and supply chain constraints resulting from the COVID-19 pandemic adversely impacted our ability to deliver products in a timely manner and increased our cost of sales due to rising prices for materials. We estimate that raw material costs exceeded our expectations by approximately $0.8 million in 2023. We may not be able to pass along any of these cost increases to our customers, and customers may not wait for our products to become available. These disruptions in our supply chain could worsen, which could delay delivery of our products and services and adversely affect our revenue and results of operations. Suppliers might change or discontinue key components, which could require us to modify our product designs or cease production. In general, we do not have written long-term supply agreements with our suppliers but instead buy components through purchase orders, which expose us to potential price increases and termination of supply without notice or recourse. We generally do not carry significant inventories of product components, which could magnify the impact of the loss of a supplier. If we must use a new source of supply, we could face unexpected manufacturing difficulties and loss of product performance or reliability. In addition, lead times for certain components can increase significantly due to imbalances in overall market supply and demand. This, in turn, could limit our ability to satisfy demand for our products and could result in the cancellation of customer orders.</w:t>
      </w:r>
    </w:p>
    <w:p>
      <w:pPr>
        <w:spacing w:after="0" w:line="22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b w:val="1"/>
          <w:bCs w:val="1"/>
          <w:color w:val="auto"/>
        </w:rPr>
        <w:t>Changes in the competitive environment, customer demand, supply chain issues, and the transition to new products may require inventory write-downs.</w:t>
      </w:r>
    </w:p>
    <w:p>
      <w:pPr>
        <w:spacing w:after="0" w:line="19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From time to time, we have recorded significant inventory charges and/or inventory write-offs as a result of substantial declines in customer demand. For example, in 2023, we recorded a $5.2 million inventory write-down charge and a $3.6 million charge for excess purchase order obligations, both relating to the reduced demand for our hardware products, which has led to the staged wind-down of our manufacturing activities at our facility in Middletown, Rhode Island in 2024. Market or competitive changes, such as a continuation of the decline in demand for our TracVision products that we experienced in 2023, could lead to future charges for excess or obsolete inventory, especially if we are unable to appropriately adjust the supply of material from our vendors, as we were unable to do in 2023.</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our dependence on third parties and third-party technology</w:t>
      </w:r>
    </w:p>
    <w:p>
      <w:pPr>
        <w:spacing w:after="0" w:line="24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b w:val="1"/>
          <w:bCs w:val="1"/>
          <w:color w:val="auto"/>
        </w:rPr>
        <w:t>Our mobile satellite communications solutions currently depend on third-party satellite services, gateway teleports and terrestrial networks provided by third parties, and a disruption in those services could adversely affect sales.</w:t>
      </w:r>
    </w:p>
    <w:p>
      <w:pPr>
        <w:spacing w:after="0" w:line="19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Our mobile satellite communications solutions utilize third-party satellite services. We do not own the satellites that provide two-way satellite communications or the terrestrial networks that interconnect our facilities with the satellite teleports that communicate with the satellites. Intelsat and Sky Perfect-JSAT currently provide the satellite capacity to support our global high-throughput satellite (HTS) broadband service, our TracNet H-series and TracPhone V-HTS series products and third-party products compatible with our services. Vodafone currently provides the 5G/LTE services used by our TracNet H-series terminals and compatible third-party products to provide cellular service in 150+ countries. Starlink provides the data services for Starlink LEO services, while Eutelsat OneWeb will provide the data connectivity for OneWeb LEO service, which we anticipate providing for maritime use in the second quarter of 2024. We rely on Inmarsat for satellite communications services for our FleetBroadband-compatible and FleetOne-compatible products. We also have an arrangement with Iridium for additional satellite communications services that we make available to our customers as a backup option to provide communications redundancy with our primary service offerings.</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we have agreements with various teleports and Internet service providers around the globe to support our global HTS broadband service. The terrestrial fiber links that we use to connect with the Internet and to move our VoIP and data services between our facilities and the various satellite earth stations that support our services are provided to us through numerous service providers, some of which have contractual relationships with our satellite service providers and not directly with us.</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offer satellite television solutions compatible with the DIRECTV and DISH Network services in the United States, the Bell TV service in Canada, the Sky Mexico service in Mexico, the Sky UK service in the United Kingdom, Canal+ service in France and Movistar service in Spain, and other regional satellite TV services in other parts of the world.</w:t>
      </w:r>
    </w:p>
    <w:p>
      <w:pPr>
        <w:spacing w:after="0" w:line="2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exercise little or no control over these third-party providers of satellite, teleport, and terrestrial network services, which increases our vulnerability to problems with the services they provide. Due to our reliance on these service providers, when problems occur, it may be difficult to identify the source of the problem. Service disruption or outages, regardless of whether they are caused by our service, the equipment or services of our third-party service providers, or our customers’ or their equipment and systems, may result in loss of market acceptance of our service, and any necessary repairs or other remedial actions may cause us to incur significant costs and expenses. Any failure on the part of third-party service providers to achieve or maintain expected performance levels, stability, and security could harm our relationships with our customers, result in claims for credits or damages, damage our reputation, significantly reduce customer demand for our solution and seriously harm our financial condition and operating results.</w:t>
      </w:r>
    </w:p>
    <w:p>
      <w:pPr>
        <w:spacing w:after="0" w:line="21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If customers become dissatisfied with the pricing, service, availability, programming or other aspects of any of these satellite services, or if any one or more of these services becomes unavailable for any reason, we could suffer a substantial decline in sales of the satellite products or services we offer. There may be no alternative satellite service provider available to us in a particular geographic area, and the modem or other technology our customers use may not be compatible with the technology of any alternative service provider that may be available. Even if available, delays caused by switching our systems to another service provider, if available, and qualifying this new service provider could materially harm our customer relationships, business, financial condition, and operating results. In addition, the unexpected failure of a satellite could disrupt the availability of programming and services, which could reduce the demand for, or customer satisfaction with, the products and services we offer.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depend on cloud-based data services operated by third parties, and any disruption in the operation of these services could harm our business.</w:t>
      </w:r>
    </w:p>
    <w:p>
      <w:pPr>
        <w:spacing w:after="0" w:line="24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Some of our content services and business records are hosted by various cloud-based data services operated by third parties. Any failure or downtime in one of these services could affect a significant percentage of our customers. Although we control and have access to our servers and the components of our network that are located in our internal facilities and certain of our external data facilities, we do not control the operation of external facilities. The providers of our data management services have no obligation to renew their agreements with us on commercially reasonable terms, or at all. If we are unable to renew these agreements on commercially reasonable terms, or if one or more of our data management service providers is acquired, closes, suffers financial difficulty or is unable to meet our growing capacity needs, we may be required to transfer our data to other services, and we may incur significant costs and service interruptions in connection with doing so, which could harm our reputation with our customers and adversely affect our revenues and results of operations.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b w:val="1"/>
          <w:bCs w:val="1"/>
          <w:color w:val="auto"/>
        </w:rPr>
        <w:t>Our media and entertainment business relies on licensing arrangements with content providers, and the loss of, or changes in, those arrangements could adversely affect our business.</w:t>
      </w:r>
    </w:p>
    <w:p>
      <w:pPr>
        <w:spacing w:after="0" w:line="19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distribute premium news, television shows, sports, and movies to commercial customers in the maritime and hotel markets. We license this content from third parties on a non-exclusive basis without long-term license agreements. Any content provider could terminate our arrangements without notice or could adversely modify the terms of the arrangement, including price increases. Further, the licenses we obtain are limited in scope, and any violation of the terms of a license could expose us to liability for copyright infringement. We pay license fees based in part on the revenue we generate from sublicenses, and our licensors generally have the right to audit our records. Failure to pay required license fees could result in termination of our license rights, penalties and damages. The loss of content could adversely affect the attractiveness of our media and entertainment offerings, which could in turn adversely affect our revenues. Any increase in the cost of content could reduce the profitability of these offerings.</w:t>
      </w:r>
    </w:p>
    <w:p>
      <w:pPr>
        <w:spacing w:after="0" w:line="21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b w:val="1"/>
          <w:bCs w:val="1"/>
          <w:color w:val="auto"/>
        </w:rPr>
        <w:t>Cybersecurity breaches could disrupt our operations, expose us to liability, damage our reputation, and require us to incur significant costs or otherwise adversely affect our financial results.</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are highly dependent on information technology networks and systems, including the Internet and third-party systems, to securely process, transmit and store electronic information, including personal information of our customers. We also retain sensitive data, including intellectual property, proprietary business information, personally identifiable information, credit card information, and usage data of our employees and customers on our computer networks and those of third parties. Although we take certain protective measures and endeavor to modify them as we believe circumstances warrant, invasive technologies and techniques continue to evolve rapidly, and increasingly sophisticated hacking organizations are targeting business systems. As a result, the computer systems, software and networks that we use are vulnerable to disruption, shutdown, unauthorized access, misuse, erasure, alteration, employee error, phishing, computer viruses, ransomware or other malicious code, and other events that could have a material security impact. The protective measures on which we rely may be inadequate to prevent or detect all material cybersecurity breaches or determine the extent of any material breach, and there can be no assurance that material undetected breaches have not already occurred. If any material cybersecurity event were to occur, it could disrupt our operations, distract our management, cause us to lose existing customers and fail to attract new customers, as well as subject us to regulatory actions, litigation, fines, damage to our reputation or competitive position, or orders or decrees requiring us to modify our business practices, any of which could have a material adverse effect on our financial position, results of operations or cash flows.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economic conditions and trade relations</w:t>
      </w:r>
    </w:p>
    <w:p>
      <w:pPr>
        <w:spacing w:after="0" w:line="24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b w:val="1"/>
          <w:bCs w:val="1"/>
          <w:color w:val="auto"/>
        </w:rPr>
        <w:t>Our revenues, results of operations and financial condition may be adversely impacted by economic turmoil, war, political instability, declines in consumer and enterprise spending.</w:t>
      </w:r>
    </w:p>
    <w:p>
      <w:pPr>
        <w:spacing w:after="0" w:line="19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Economic and political conditions in the geographic markets we serve have experienced significant turmoil over the last several years, including a potential global recession, slow economic activity, war and refugee crises in the Middle East and Europe, tight credit markets, inflation and deflation concerns, increased interest rates, low consumer confidence, limited capital spending, adverse business conditions, terrorist attacks, changes in government priorities, trade wars, anti-globalization movements, efforts to combat climate change, restrictions on commercial fishing, a government shutdown, gridlock from a divided Congress, and liquidity concerns. These factors vary in intensity by region. For example, the war in the Middle East has resulted in periodic disruptions to global shipping, which could intensify and result in significant delays in shipments of products or supplies, materially increased shipping costs and loss of revenues. We cannot predict the timing, duration, or ultimate impact of turmoil on our markets or our suppliers. We expect our business would be adversely impacted by any significant turmoil, to varying degrees and for varying amounts of time, in all our geographic markets.</w:t>
      </w:r>
    </w:p>
    <w:p>
      <w:pPr>
        <w:spacing w:after="0" w:line="21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b w:val="1"/>
          <w:bCs w:val="1"/>
          <w:color w:val="auto"/>
        </w:rPr>
        <w:t>Changes in U.S. trade policy, including changes to existing trade agreements and any resulting changes in international trade relations, may have a material adverse effect on us.</w:t>
      </w:r>
    </w:p>
    <w:p>
      <w:pPr>
        <w:spacing w:after="0" w:line="18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The U.S. may continue to alter its approach to international trade, which may impact existing bilateral or multi-lateral trade agreements and treaties with foreign countries. The U.S. has imposed tariffs on certain foreign goods and may increase tariffs or impose new ones, and certain foreign governments have retaliated and may continue to do so. We derive a majority of our revenues from international sales, which makes us especially vulnerable to increased tariffs. Changes in U.S. trade policy have created ongoing turmoil in international trade relations, and it is unclear what future actions governments will or will not take with respect to tariffs or other international trade agreements and policies. Ongoing or new trade wars or other governmental action related to tariffs or international trade agreements or policies could reduce demand for our products and services,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increase our costs, reduce our profitability, adversely impact our supply chain or otherwise have a material adverse effect on our business and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foreign currency exchange rates may negatively affect our financial condition and results of operations.</w:t>
      </w:r>
    </w:p>
    <w:p>
      <w:pPr>
        <w:spacing w:after="0" w:line="2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face significant exposure to movements in exchange rates for foreign currencies, particularly the pound sterling and the euro. For example, during 2022, the U.S. dollar strengthened against certain foreign currencies, which adversely affected revenues reported in U.S. dollars and decreased the reported value of our assets in foreign countries. Conversely, the U.S. dollar weakened against certain foreign currencies during 2023. We also have intragroup receivables and liabilities, such as loans, that can generate significant foreign currency effects. Changes in exchange rates, particularly the U.S. dollar against the pound sterling, could lead to the recognition of unrealized foreign exchange losses.</w:t>
      </w:r>
    </w:p>
    <w:p>
      <w:pPr>
        <w:spacing w:after="0" w:line="21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Certain of our products and services are sold internationally in U.S. dollars; if the U.S. dollar strengthens, the relative cost of these products and services to customers located in foreign countries would increase, which could adversely affect export sales. In addition, most of our financial obligations must be satisfied in U.S. dollars. Our exposures to changes in foreign currency exchange rates may change over time as our business practices evolve and could result in increased costs or reduced revenue and could adversely affect our cash flow. Changes in the relative values of currencies occur regularly and may have a significant impact on our operating results. We cannot predict with any certainty changes in foreign currency exchange rates or the degree to which we can cost-effectively mitigate this exposure.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intellectual property and technological innovation</w:t>
      </w:r>
    </w:p>
    <w:p>
      <w:pPr>
        <w:spacing w:after="0" w:line="24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b w:val="1"/>
          <w:bCs w:val="1"/>
          <w:color w:val="auto"/>
        </w:rPr>
        <w:t>Our research and development efforts may be unsuccessful. If we are unable to improve our existing solutions and develop new, innovative solutions, our sales and market share may decline.</w:t>
      </w:r>
    </w:p>
    <w:p>
      <w:pPr>
        <w:spacing w:after="0" w:line="19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market for mobile connectivity solutions is characterized by rapid technological change, frequent new product innovations, changes in customer requirements and expectations, and evolving industry standards. For example, we are facing competition from new LEO networks such as SpaceX’s Starlink and OneWeb. If we fail to make innovations in our existing products and services and reduce the costs of our products and services, our market share will likely decline. Products or services using new technologies, or emerging industry standards, could render our products and services obsolete. If our competitors successfully introduce new or enhanced products or services that outperform our products or services, or are perceived as doing so, we may be unable to compete successfully in the markets affected by these changes.</w:t>
      </w:r>
    </w:p>
    <w:p>
      <w:pPr>
        <w:spacing w:after="0" w:line="21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Research and development is inherently complex and uncertain, and our current and anticipated research and development projects may not achieve the results we seek. The financial resources that we can devote to our research and development efforts may be insufficient to achieve our goals. Our efforts may not result in any viable products or may result in products whose performance, features, price or availability may not be attractive to customers or that we cannot manufacture and sell profitably.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may suffer if we cannot protect our proprietary technology.</w:t>
      </w:r>
    </w:p>
    <w:p>
      <w:pPr>
        <w:spacing w:after="0" w:line="22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ability to compete depends in part upon our patents, copyrights, source code, and other proprietary technology. The steps we have taken to protect our technology may be inadequate to prevent others from using what we regard as our technology to compete with us. Our patents will eventually expire and could be challenged, invalidated or circumvented. Customers or others with access to our proprietary or licensed media content could copy that content without permission or otherwise violate the terms of our customer agreements, which would adversely affect our revenues and could impair our relationships with content providers. In addition, the laws of some foreign countries do not protect our proprietary technology to the same extent as the laws of the United States, which could increase the likelihood of misappropriation. Any misappropriation of our technology could seriously harm our competitive position, which could lead to a substantial reduction in net sales. If we resort to legal proceedings to enforce our intellectual property rights, the proceedings could be burdensome, disruptive and expensive. The proceedings could distract the attention of management, and we may not prevail.</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Claims by others that we infringe their intellectual property rights could harm our business and financial condition.</w:t>
      </w: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industry is characterized by the existence of a large number of patents and frequent claims and related litigation regarding patent and other intellectual property rights. We cannot be certain that our products and services do not and will not infringe issued patents, patents that may be issued in the future, or other intellectual property rights of others.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government regulation</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international operations complicate our business and require us to comply with multiple regulatory environments.</w:t>
      </w:r>
    </w:p>
    <w:p>
      <w:pPr>
        <w:spacing w:after="0" w:line="22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color w:val="auto"/>
        </w:rPr>
        <w:t>Historically, sales to customers outside the United States have accounted for an increasingly significant portion of our net sales. We derived 68% and 63% of our revenues from continuing operations in the years ended December 31, 2023 and 2022, respectively, from sales to these foreign customers. We have foreign offices in Denmark, the United Kingdom, Singapore, Japan, Norway and the Philippines, as well as a subsidiary in Brazil that manages local sales. Nonetheless, substantially all of our operations and a significant number of our personnel are located in the United States. Our limited international operations may impair our ability to compete successfully in international markets and to meet the service and support needs of our customers in countries where we have little to no infrastructure. Risks associated with our international business activities may increase our costs and require significant management attention. These risks include restrictions on international travel, which may restrict our ability to grow and service our business; international shipping delays; tariffs; sanctions or other trade restrictions that preclude or restrict doing business with particular foreign governments, companies or individuals; technical challenges we may face in adapting our solutions to function with different satellite services and technology in use in various regions around the world; satisfaction of international regulatory requirements and delays and costs associated with procurement of any necessary licenses or permits; the potential unavailability of content licenses covering international waters and foreign locations; increased costs of providing customer support in multiple languages; increased costs of managing operations that are international in scope; potentially adverse tax consequences, including restrictions on the repatriation of earnings; protectionist laws and business practices that favor local competitors, which could slow our growth in international markets; potentially longer sales cycles; potentially longer accounts receivable payment cycles and difficulties in collecting accounts receivable; and economic and political instability in some international markets.</w:t>
      </w:r>
    </w:p>
    <w:p>
      <w:pPr>
        <w:spacing w:after="0" w:line="200" w:lineRule="exact"/>
        <w:rPr>
          <w:sz w:val="20"/>
          <w:szCs w:val="20"/>
          <w:color w:val="auto"/>
        </w:rPr>
      </w:pPr>
    </w:p>
    <w:p>
      <w:pPr>
        <w:spacing w:after="0" w:line="20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b w:val="1"/>
          <w:bCs w:val="1"/>
          <w:color w:val="auto"/>
        </w:rPr>
        <w:t>We could incur additional legal compliance costs associated with our international operations and could become subject to legal penalties if we do not comply with certain regulations.</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international operations subject us to a number of legal requirements, including the U.S. Foreign Corrupt Practices Act, the U.K. Bribery Act and the customs, export, trade sanctions and anti-boycott laws of the United States, including those administered by the U.S. Customs and Border Protection, the Bureau of Industry and Security, the Department of Commerce, the Department of State, and the Office of Foreign Assets Control of the Treasury Department, as well as those of other nations. In addition, many of the countries where our customers use our products and services have licensing and regulatory requirements for the importation and use of satellite communications and reception equipment, including the use of such equipment in territorial waters, the transmission of satellite signals on certain radio frequencies, the transmission of VoIP services using such equipment and the reception of certain video programming services. These laws and regulations are continually changing, making compliance complex. We incur significant costs identifying and maintaining compliance with applicable licensing and regulatory requirements. Our training and compliance programs and our other internal control policies may be insufficient to protect us from acts committed by our employees, agents or third-party contractors. Any violation of these requirements by us or our employees, agents or third-party contractors may subject us to significant criminal and civil liability. Further, many of our commercial suppliers of satellite transmission capacity impose contractual obligations on us that permit them to suspend or terminate their provision of satellite services to support our network if we fail to maintain compliance with these laws and regulations. The loss of access to satellite capacity would materially and adversely affect our maritime communications service.</w:t>
      </w:r>
    </w:p>
    <w:p>
      <w:pPr>
        <w:spacing w:after="0" w:line="22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b w:val="1"/>
          <w:bCs w:val="1"/>
          <w:color w:val="auto"/>
        </w:rPr>
        <w:t>We are subject to FCC rules and regulations, and any non-compliance could subject us to FCC enforcement actions, fines, loss of licenses and possibly restrictions on our ability to operate or offer certain of our services.</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satellite communications industry in the United States is regulated by the Federal Communications Commission (FCC), and we are subject to FCC regulations relating to privacy, contributions to the Universal Service Fund, or USF, and other requirements. If we do not comply with FCC regulations, we could face enforcement actions, substantial fines, penalties, loss of licenses and possibly restrictions on our ability to operate or offer services. Any enforcement action by the FCC, which may be a public process, could hurt our reputation, impair our ability to sell our services to customers and harm our business and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Privacy concerns and domestic or foreign laws and regulations may reduce demand for our services, increase our costs and harm our business.</w:t>
      </w:r>
    </w:p>
    <w:p>
      <w:pPr>
        <w:spacing w:after="0" w:line="2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company and our customers can use our services to collect, use and store personal, confidential and sensitive information regarding the content and manner of usage of our services by them, their employees and maritime crews. Federal, state and foreign governments have adopted and are proposing new and more stringent laws and regulations regarding the collection, use, storage and transfer of information, such as the European Union’s General Data Protection Regulation (“GDPR”). The costs of</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compliance with, and other burdens imposed by, such laws and regulations may limit the use and adoption of our services and reduce overall demand. Non-compliance with these laws and regulations could lead to significant remediation expenses, fines, penalties or other liabilities, such as orders or consent decrees that require modifications to our privacy practices, as well as reputational damage or third-party lawsuits seeking damages or other relief. For example, the GDPR imposes a strict data protection compliance regime with penalties of up to the greater of 2%-4% of worldwide revenue or €11-22 million.</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Domestic and international legislative and regulatory initiatives may harm our ability, and the ability of our customers, to process, handle, store, use and transmit information, which could reduce demand for our services, increase our costs and force us to change our business practices. These laws and regulations are still evolving, are likely to be in flux and may be subject to uncertain interpretation for the foreseeable future. Our business also could be harmed if legislation or regulations are adopted, interpreted or implemented in a manner that is inconsistent from country to country or inconsistent with our current policies and practices or those of our customers.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owning our common stock</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market price of our common stock may be volatile.</w:t>
      </w:r>
    </w:p>
    <w:p>
      <w:pPr>
        <w:spacing w:after="0" w:line="24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stock price has historically been volatile. During the period from January 1, 2018 to December 31, 2023, the trading price of our common stock ranged from $4.30 to $15.29. Many factors may cause our stock price to fluctuate, including variations in quarterly results; the introduction of new products and services by us or our competitors; adverse business developments; reductions-in-force; changes in estimates of our performance or recommendations by securities analysts; the hiring or departure of key personnel; acquisitions or strategic alliances involving us or our competitors; market conditions in our industry; and the global macroeconomic and geopolitical environment. Broad market fluctuations may adversely affect our stock price. When the market price of a company’s stock drops significantly, stockholders often institute securities litigation against that company. Any such litigation could cause us to incur significant expenses defending against the claim, divert the time and attention of our management and result in significant damages.</w:t>
      </w:r>
    </w:p>
    <w:p>
      <w:pPr>
        <w:spacing w:after="0" w:line="255"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6"/>
          <w:szCs w:val="16"/>
          <w:b w:val="1"/>
          <w:bCs w:val="1"/>
          <w:color w:val="auto"/>
        </w:rPr>
        <w:t>Unresolved Staff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107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1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41"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6"/>
          <w:szCs w:val="16"/>
          <w:b w:val="1"/>
          <w:bCs w:val="1"/>
          <w:color w:val="auto"/>
        </w:rPr>
        <w:t>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107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327"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We have established procedures to assess, identify, and manage material risks from cybersecurity threats and have integrated those procedures into our overall risk management systems and processes.</w:t>
      </w:r>
    </w:p>
    <w:p>
      <w:pPr>
        <w:spacing w:after="0" w:line="195" w:lineRule="exact"/>
        <w:rPr>
          <w:sz w:val="20"/>
          <w:szCs w:val="20"/>
          <w:color w:val="auto"/>
        </w:rPr>
      </w:pPr>
    </w:p>
    <w:p>
      <w:pPr>
        <w:jc w:val="both"/>
        <w:ind w:firstLine="473"/>
        <w:spacing w:after="0" w:line="245" w:lineRule="auto"/>
        <w:rPr>
          <w:sz w:val="20"/>
          <w:szCs w:val="20"/>
          <w:color w:val="auto"/>
        </w:rPr>
      </w:pPr>
      <w:r>
        <w:rPr>
          <w:rFonts w:ascii="Times New Roman" w:cs="Times New Roman" w:eastAsia="Times New Roman" w:hAnsi="Times New Roman"/>
          <w:sz w:val="18"/>
          <w:szCs w:val="18"/>
          <w:color w:val="auto"/>
        </w:rPr>
        <w:t>We have implemented a written information security program ("WISP") to create administrative, technical and physical safeguards at KVH for the protection of confidential information of KVH and its employees and customers and other third parties. The WISP sets forth our procedures for evaluating our electronic and physical methods of collecting, storing, accessing, using, transmitting, and protecting confidential information, including personal information, as defined by federal and state law. We have utilized the National Institute of Standards and Technology’s Cybersecurity Framework (NIST CSF) as a baseline for the WISP procedures in addition to General Data Protection Regulation (GDPR) standards. In addition to our data privacy policy, the WISP policy defines how sensitive and private data are protected. Under our procedures, we perform an annual risk assessment to identify and prioritize key cybersecurity risks, and we update this assessment when we receive information about material new cybersecurity risks. Once we identify material cybersecurity risks, we seek to identify and implement prevention measures. Current prevention measures include, among other things, to the extent we determine to be appropriate for our information systems in light of our financial, personnel and other resources, restricted physical access, restricted systems access, multi-factor authentication, software solutions such as intrusion detection systems, anti-virus, anti-malware, e-mail filtering and quarantining programs, routine system maintenance and updates, backup and recovery systems, routine employee cybersecurity training and testing, and quarterly internal audits. The measures we take may be inadequate to protect us from cybersecurity risks. See “Item 1A. Risk Factors – Risks related to our dependence on third parties and third-party technology – Cybersecurity breaches could disrupt our operations, expose us to liability, damage our reputation, and require us to incur significant costs or otherwise adversely affect our financial results."</w:t>
      </w:r>
    </w:p>
    <w:p>
      <w:pPr>
        <w:spacing w:after="0" w:line="223"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We obtain cybersecurity threat intelligence information from law enforcement reports and our cybersecurity operations providers and communicate this information to relevant stakeholders within the organization. We employ third-party cybersecurity operations providers to monitor cybersecurity events and provide rapid responses to any critical events. In addition, we employ contractual provisions to require our third-party information service providers to implement and maintain appropriate security measures over the information we entrust to them. Because of the relatively small size of our information</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technology workforce, we have limited internal cybersecurity expertise and monitoring capabilities; accordingly, we seek to augment our internal capabilities by engaging larger, well-known third-party service providers with significantly greater cybersecurity capabilities than we possess. Because we rely on their greater expertise, our ability to identify and remediate weaknesses or vulnerabilities in the services they provide is necessarily limited. We have not engaged third parties to assess our cybersecurity defenses or to audit our cybersecurity program, nor have we conducted direct or indirect technical evaluations of the information systems that our third-party service providers use.</w:t>
      </w:r>
    </w:p>
    <w:p>
      <w:pPr>
        <w:spacing w:after="0" w:line="214" w:lineRule="exact"/>
        <w:rPr>
          <w:sz w:val="20"/>
          <w:szCs w:val="20"/>
          <w:color w:val="auto"/>
        </w:rPr>
      </w:pPr>
    </w:p>
    <w:p>
      <w:pPr>
        <w:jc w:val="both"/>
        <w:ind w:firstLine="473"/>
        <w:spacing w:after="0" w:line="283" w:lineRule="auto"/>
        <w:rPr>
          <w:sz w:val="20"/>
          <w:szCs w:val="20"/>
          <w:color w:val="auto"/>
        </w:rPr>
      </w:pPr>
      <w:r>
        <w:rPr>
          <w:rFonts w:ascii="Times New Roman" w:cs="Times New Roman" w:eastAsia="Times New Roman" w:hAnsi="Times New Roman"/>
          <w:sz w:val="16"/>
          <w:szCs w:val="16"/>
          <w:color w:val="auto"/>
        </w:rPr>
        <w:t>Our Information Security Officer ("ISO") is responsible for implementing, supervising and maintaining the WISP, including the implementation of prevention measures. The ISO reports directly to the Chief Technology Officer, who is also our Chief Information Security Officer (“CISO”). The CISO establishes the company-wide system security plan and defines the parameters of users’ access privileges. The CISO has worked in information technology and communications services for over 30 years, starting as a contractor at the Defense Advanced Research Projects Agency of the Department of Defense, managing the design and operation of the DARPA IT network, as the Network Operations Manager. At DARPA, the CISO oversaw the desktop computers, servers, local area networks, and Internet access, including edge security from 1992 to 1998. Since then, the CISO has managed customer network integrations for commercial satellite services at Hughes and at KVH. The CISO also developed a managed security service offering at KVH based on Fortinet technology.</w:t>
      </w:r>
    </w:p>
    <w:p>
      <w:pPr>
        <w:spacing w:after="0" w:line="190"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We have also implemented an Incident Response Plan (“IRP”), which provides a set of guidelines on the appropriate responsive actions to take in the event of a cybersecurity incident, depending on the particular facts and circumstances of the incident.</w:t>
      </w:r>
    </w:p>
    <w:p>
      <w:pPr>
        <w:spacing w:after="0" w:line="195"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The audit committee assists the Board of Directors in overseeing our cybersecurity program. Both the Board of Directors and the audit committee receive regular reports regarding material cybersecurity developments. In the case of a security incident, the ISO will report the incident directly to the Chief Executive Officer, Chief Technology Officer, Chief Financial Officer and Senior Vice President, General Counsel &amp; Compliance Officer. The breach will then be communicated to the audit committee dependent on the materiality of the incident.</w:t>
      </w:r>
    </w:p>
    <w:p>
      <w:pPr>
        <w:spacing w:after="0" w:line="208"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Aside from our general efforts to protect ourselves from global cybersecurity threats, for the period covered by this annual report, management has not identified any risks from cybersecurity threats or cybersecurity incidents that we believe have had a material effect, or that are reasonably likely to have a material effect, on our business strategy, results of operations or financial condition. However, we cannot provide any assurance that they will not be materially affected by such threats or incidents in the future.</w:t>
      </w:r>
    </w:p>
    <w:p>
      <w:pPr>
        <w:spacing w:after="0" w:line="246"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107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1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provides information about our principal facilities as of December 31, 2023.</w:t>
      </w:r>
    </w:p>
    <w:p>
      <w:pPr>
        <w:spacing w:after="0" w:line="11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Approximate</w:t>
            </w: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Lease</w:t>
            </w:r>
          </w:p>
        </w:tc>
        <w:tc>
          <w:tcPr>
            <w:tcW w:w="0" w:type="dxa"/>
            <w:vAlign w:val="bottom"/>
          </w:tcPr>
          <w:p>
            <w:pPr>
              <w:spacing w:after="0"/>
              <w:rPr>
                <w:sz w:val="1"/>
                <w:szCs w:val="1"/>
                <w:color w:val="auto"/>
              </w:rPr>
            </w:pPr>
          </w:p>
        </w:tc>
      </w:tr>
      <w:tr>
        <w:trPr>
          <w:trHeight w:val="145"/>
        </w:trPr>
        <w:tc>
          <w:tcPr>
            <w:tcW w:w="14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2"/>
              </w:rPr>
              <w:t>Type</w:t>
            </w:r>
          </w:p>
        </w:tc>
        <w:tc>
          <w:tcPr>
            <w:tcW w:w="3600" w:type="dxa"/>
            <w:vAlign w:val="bottom"/>
            <w:gridSpan w:val="2"/>
            <w:vMerge w:val="restart"/>
          </w:tcPr>
          <w:p>
            <w:pPr>
              <w:ind w:left="1300"/>
              <w:spacing w:after="0"/>
              <w:rPr>
                <w:sz w:val="20"/>
                <w:szCs w:val="20"/>
                <w:color w:val="auto"/>
              </w:rPr>
            </w:pPr>
            <w:r>
              <w:rPr>
                <w:rFonts w:ascii="Times New Roman" w:cs="Times New Roman" w:eastAsia="Times New Roman" w:hAnsi="Times New Roman"/>
                <w:sz w:val="14"/>
                <w:szCs w:val="14"/>
                <w:b w:val="1"/>
                <w:bCs w:val="1"/>
                <w:color w:val="auto"/>
              </w:rPr>
              <w:t>Principal Uses</w:t>
            </w:r>
          </w:p>
        </w:tc>
        <w:tc>
          <w:tcPr>
            <w:tcW w:w="122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8"/>
              </w:rPr>
              <w:t>Square</w:t>
            </w: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Ownership</w:t>
            </w: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40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3600" w:type="dxa"/>
            <w:vAlign w:val="bottom"/>
            <w:gridSpan w:val="2"/>
            <w:vMerge w:val="continue"/>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Footage</w:t>
            </w:r>
          </w:p>
        </w:tc>
        <w:tc>
          <w:tcPr>
            <w:tcW w:w="140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Expiration</w:t>
            </w:r>
          </w:p>
        </w:tc>
        <w:tc>
          <w:tcPr>
            <w:tcW w:w="0" w:type="dxa"/>
            <w:vAlign w:val="bottom"/>
          </w:tcPr>
          <w:p>
            <w:pPr>
              <w:spacing w:after="0"/>
              <w:rPr>
                <w:sz w:val="1"/>
                <w:szCs w:val="1"/>
                <w:color w:val="auto"/>
              </w:rPr>
            </w:pPr>
          </w:p>
        </w:tc>
      </w:tr>
      <w:tr>
        <w:trPr>
          <w:trHeight w:val="170"/>
        </w:trPr>
        <w:tc>
          <w:tcPr>
            <w:tcW w:w="1300" w:type="dxa"/>
            <w:vAlign w:val="bottom"/>
            <w:tcBorders>
              <w:top w:val="single" w:sz="8" w:color="auto"/>
            </w:tcBorders>
          </w:tcPr>
          <w:p>
            <w:pPr>
              <w:ind w:left="20"/>
              <w:spacing w:after="0" w:line="170" w:lineRule="exact"/>
              <w:rPr>
                <w:sz w:val="20"/>
                <w:szCs w:val="20"/>
                <w:color w:val="auto"/>
              </w:rPr>
            </w:pPr>
            <w:r>
              <w:rPr>
                <w:rFonts w:ascii="Times New Roman" w:cs="Times New Roman" w:eastAsia="Times New Roman" w:hAnsi="Times New Roman"/>
                <w:sz w:val="18"/>
                <w:szCs w:val="18"/>
                <w:color w:val="auto"/>
              </w:rPr>
              <w:t>Middletown,</w:t>
            </w:r>
          </w:p>
        </w:tc>
        <w:tc>
          <w:tcPr>
            <w:tcW w:w="100" w:type="dxa"/>
            <w:vAlign w:val="bottom"/>
          </w:tcPr>
          <w:p>
            <w:pPr>
              <w:spacing w:after="0"/>
              <w:rPr>
                <w:sz w:val="14"/>
                <w:szCs w:val="14"/>
                <w:color w:val="auto"/>
              </w:rPr>
            </w:pPr>
          </w:p>
        </w:tc>
        <w:tc>
          <w:tcPr>
            <w:tcW w:w="1420" w:type="dxa"/>
            <w:vAlign w:val="bottom"/>
            <w:tcBorders>
              <w:top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5"/>
              </w:rPr>
              <w:t>Office</w:t>
            </w:r>
          </w:p>
        </w:tc>
        <w:tc>
          <w:tcPr>
            <w:tcW w:w="100" w:type="dxa"/>
            <w:vAlign w:val="bottom"/>
          </w:tcPr>
          <w:p>
            <w:pPr>
              <w:spacing w:after="0"/>
              <w:rPr>
                <w:sz w:val="14"/>
                <w:szCs w:val="14"/>
                <w:color w:val="auto"/>
              </w:rPr>
            </w:pPr>
          </w:p>
        </w:tc>
        <w:tc>
          <w:tcPr>
            <w:tcW w:w="3500" w:type="dxa"/>
            <w:vAlign w:val="bottom"/>
            <w:tcBorders>
              <w:top w:val="single" w:sz="8" w:color="auto"/>
            </w:tcBorders>
          </w:tcPr>
          <w:p>
            <w:pPr>
              <w:spacing w:after="0" w:line="170" w:lineRule="exact"/>
              <w:rPr>
                <w:sz w:val="20"/>
                <w:szCs w:val="20"/>
                <w:color w:val="auto"/>
              </w:rPr>
            </w:pPr>
            <w:r>
              <w:rPr>
                <w:rFonts w:ascii="Times New Roman" w:cs="Times New Roman" w:eastAsia="Times New Roman" w:hAnsi="Times New Roman"/>
                <w:sz w:val="18"/>
                <w:szCs w:val="18"/>
                <w:color w:val="auto"/>
              </w:rPr>
              <w:t>Corporate headquarters, research and</w:t>
            </w:r>
          </w:p>
        </w:tc>
        <w:tc>
          <w:tcPr>
            <w:tcW w:w="100" w:type="dxa"/>
            <w:vAlign w:val="bottom"/>
          </w:tcPr>
          <w:p>
            <w:pPr>
              <w:spacing w:after="0"/>
              <w:rPr>
                <w:sz w:val="14"/>
                <w:szCs w:val="14"/>
                <w:color w:val="auto"/>
              </w:rPr>
            </w:pPr>
          </w:p>
        </w:tc>
        <w:tc>
          <w:tcPr>
            <w:tcW w:w="1120" w:type="dxa"/>
            <w:vAlign w:val="bottom"/>
            <w:tcBorders>
              <w:top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14"/>
                <w:szCs w:val="14"/>
                <w:color w:val="auto"/>
              </w:rPr>
            </w:pPr>
          </w:p>
        </w:tc>
        <w:tc>
          <w:tcPr>
            <w:tcW w:w="1300" w:type="dxa"/>
            <w:vAlign w:val="bottom"/>
            <w:tcBorders>
              <w:top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6"/>
              </w:rPr>
              <w:t>Owned</w:t>
            </w:r>
          </w:p>
        </w:tc>
        <w:tc>
          <w:tcPr>
            <w:tcW w:w="100" w:type="dxa"/>
            <w:vAlign w:val="bottom"/>
          </w:tcPr>
          <w:p>
            <w:pPr>
              <w:spacing w:after="0"/>
              <w:rPr>
                <w:sz w:val="14"/>
                <w:szCs w:val="14"/>
                <w:color w:val="auto"/>
              </w:rPr>
            </w:pPr>
          </w:p>
        </w:tc>
        <w:tc>
          <w:tcPr>
            <w:tcW w:w="1320" w:type="dxa"/>
            <w:vAlign w:val="bottom"/>
            <w:tcBorders>
              <w:top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71"/>
        </w:trPr>
        <w:tc>
          <w:tcPr>
            <w:tcW w:w="140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8"/>
                <w:szCs w:val="18"/>
                <w:color w:val="auto"/>
              </w:rPr>
              <w:t>Rhode Island</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color w:val="auto"/>
              </w:rPr>
              <w:t>development, sales and service, marketing and</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administration</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140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color w:val="auto"/>
              </w:rPr>
              <w:t>Middletown,</w:t>
            </w:r>
          </w:p>
        </w:tc>
        <w:tc>
          <w:tcPr>
            <w:tcW w:w="1520" w:type="dxa"/>
            <w:vAlign w:val="bottom"/>
            <w:gridSpan w:val="2"/>
          </w:tcPr>
          <w:p>
            <w:pPr>
              <w:jc w:val="center"/>
              <w:ind w:right="100"/>
              <w:spacing w:after="0" w:line="179" w:lineRule="exact"/>
              <w:rPr>
                <w:sz w:val="20"/>
                <w:szCs w:val="20"/>
                <w:color w:val="auto"/>
              </w:rPr>
            </w:pPr>
            <w:r>
              <w:rPr>
                <w:rFonts w:ascii="Times New Roman" w:cs="Times New Roman" w:eastAsia="Times New Roman" w:hAnsi="Times New Roman"/>
                <w:sz w:val="18"/>
                <w:szCs w:val="18"/>
                <w:color w:val="auto"/>
                <w:w w:val="97"/>
              </w:rPr>
              <w:t>Plant and</w:t>
            </w:r>
          </w:p>
        </w:tc>
        <w:tc>
          <w:tcPr>
            <w:tcW w:w="3600" w:type="dxa"/>
            <w:vAlign w:val="bottom"/>
            <w:gridSpan w:val="2"/>
          </w:tcPr>
          <w:p>
            <w:pPr>
              <w:spacing w:after="0" w:line="179" w:lineRule="exact"/>
              <w:rPr>
                <w:sz w:val="20"/>
                <w:szCs w:val="20"/>
                <w:color w:val="auto"/>
              </w:rPr>
            </w:pPr>
            <w:r>
              <w:rPr>
                <w:rFonts w:ascii="Times New Roman" w:cs="Times New Roman" w:eastAsia="Times New Roman" w:hAnsi="Times New Roman"/>
                <w:sz w:val="18"/>
                <w:szCs w:val="18"/>
                <w:color w:val="auto"/>
              </w:rPr>
              <w:t>Manufacturing and warehousing</w:t>
            </w:r>
          </w:p>
        </w:tc>
        <w:tc>
          <w:tcPr>
            <w:tcW w:w="1120" w:type="dxa"/>
            <w:vAlign w:val="bottom"/>
          </w:tcPr>
          <w:p>
            <w:pPr>
              <w:jc w:val="center"/>
              <w:spacing w:after="0" w:line="179" w:lineRule="exact"/>
              <w:rPr>
                <w:sz w:val="20"/>
                <w:szCs w:val="20"/>
                <w:color w:val="auto"/>
              </w:rPr>
            </w:pPr>
            <w:r>
              <w:rPr>
                <w:rFonts w:ascii="Times New Roman" w:cs="Times New Roman" w:eastAsia="Times New Roman" w:hAnsi="Times New Roman"/>
                <w:sz w:val="18"/>
                <w:szCs w:val="18"/>
                <w:color w:val="auto"/>
              </w:rPr>
              <w:t>75,300</w:t>
            </w:r>
          </w:p>
        </w:tc>
        <w:tc>
          <w:tcPr>
            <w:tcW w:w="100" w:type="dxa"/>
            <w:vAlign w:val="bottom"/>
          </w:tcPr>
          <w:p>
            <w:pPr>
              <w:spacing w:after="0"/>
              <w:rPr>
                <w:sz w:val="15"/>
                <w:szCs w:val="15"/>
                <w:color w:val="auto"/>
              </w:rPr>
            </w:pPr>
          </w:p>
        </w:tc>
        <w:tc>
          <w:tcPr>
            <w:tcW w:w="1400" w:type="dxa"/>
            <w:vAlign w:val="bottom"/>
            <w:gridSpan w:val="2"/>
          </w:tcPr>
          <w:p>
            <w:pPr>
              <w:jc w:val="center"/>
              <w:ind w:right="100"/>
              <w:spacing w:after="0" w:line="179" w:lineRule="exact"/>
              <w:rPr>
                <w:sz w:val="20"/>
                <w:szCs w:val="20"/>
                <w:color w:val="auto"/>
              </w:rPr>
            </w:pPr>
            <w:r>
              <w:rPr>
                <w:rFonts w:ascii="Times New Roman" w:cs="Times New Roman" w:eastAsia="Times New Roman" w:hAnsi="Times New Roman"/>
                <w:sz w:val="18"/>
                <w:szCs w:val="18"/>
                <w:color w:val="auto"/>
                <w:w w:val="96"/>
              </w:rPr>
              <w:t>Owned</w:t>
            </w:r>
          </w:p>
        </w:tc>
        <w:tc>
          <w:tcPr>
            <w:tcW w:w="1320" w:type="dxa"/>
            <w:vAlign w:val="bottom"/>
          </w:tcPr>
          <w:p>
            <w:pPr>
              <w:jc w:val="center"/>
              <w:spacing w:after="0" w:line="179"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8"/>
        </w:trPr>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Rhode Island</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warehouse</w:t>
            </w:r>
          </w:p>
        </w:tc>
        <w:tc>
          <w:tcPr>
            <w:tcW w:w="3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107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327" w:lineRule="exact"/>
        <w:rPr>
          <w:sz w:val="20"/>
          <w:szCs w:val="20"/>
          <w:color w:val="auto"/>
        </w:rPr>
      </w:pPr>
    </w:p>
    <w:p>
      <w:pPr>
        <w:ind w:firstLine="473"/>
        <w:spacing w:after="0" w:line="268" w:lineRule="auto"/>
        <w:rPr>
          <w:sz w:val="20"/>
          <w:szCs w:val="20"/>
          <w:color w:val="auto"/>
        </w:rPr>
      </w:pPr>
      <w:r>
        <w:rPr>
          <w:rFonts w:ascii="Times New Roman" w:cs="Times New Roman" w:eastAsia="Times New Roman" w:hAnsi="Times New Roman"/>
          <w:sz w:val="18"/>
          <w:szCs w:val="18"/>
          <w:color w:val="auto"/>
        </w:rPr>
        <w:t>From time to time, we are involved in litigation incidental to the conduct of our business. In the ordinary course of business, we are a party to inquiries, legal proceedings and claims including, from time to time, disagreements with vendors and customers.</w:t>
      </w:r>
    </w:p>
    <w:p>
      <w:pPr>
        <w:spacing w:after="0" w:line="232"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107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2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PART II</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Market for Registrant’s Common Equity, Related Stockholder Matters and 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107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1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 xml:space="preserve">Market Information. </w:t>
      </w:r>
      <w:r>
        <w:rPr>
          <w:rFonts w:ascii="Times New Roman" w:cs="Times New Roman" w:eastAsia="Times New Roman" w:hAnsi="Times New Roman"/>
          <w:sz w:val="18"/>
          <w:szCs w:val="18"/>
          <w:color w:val="auto"/>
        </w:rPr>
        <w:t>Our common stock trades on the Nasdaq Global Select Market under the symbol “KVHI.”</w:t>
      </w:r>
    </w:p>
    <w:p>
      <w:pPr>
        <w:spacing w:after="0" w:line="240" w:lineRule="exact"/>
        <w:rPr>
          <w:sz w:val="20"/>
          <w:szCs w:val="20"/>
          <w:color w:val="auto"/>
        </w:rPr>
      </w:pPr>
    </w:p>
    <w:p>
      <w:pPr>
        <w:jc w:val="both"/>
        <w:ind w:firstLine="473"/>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Stockholders. </w:t>
      </w:r>
      <w:r>
        <w:rPr>
          <w:rFonts w:ascii="Times New Roman" w:cs="Times New Roman" w:eastAsia="Times New Roman" w:hAnsi="Times New Roman"/>
          <w:sz w:val="18"/>
          <w:szCs w:val="18"/>
          <w:color w:val="auto"/>
        </w:rPr>
        <w:t>As of March 1, 2024, we had 58 holders of record of our common stock. This number does not include stockholders for whom shares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by a nominee or in “street” name.</w:t>
      </w:r>
    </w:p>
    <w:p>
      <w:pPr>
        <w:spacing w:after="0" w:line="1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i w:val="1"/>
          <w:iCs w:val="1"/>
          <w:color w:val="auto"/>
        </w:rPr>
        <w:t>Dividends</w:t>
      </w:r>
      <w:r>
        <w:rPr>
          <w:rFonts w:ascii="Times New Roman" w:cs="Times New Roman" w:eastAsia="Times New Roman" w:hAnsi="Times New Roman"/>
          <w:sz w:val="16"/>
          <w:szCs w:val="16"/>
          <w:color w:val="auto"/>
        </w:rPr>
        <w:t>. We have never declared or paid cash dividends on our capital stock, and we have no plan to pay any cash dividends in the foreseeable future.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intend to retain any future earnings to finance our operations and future growth.</w:t>
      </w:r>
    </w:p>
    <w:p>
      <w:pPr>
        <w:spacing w:after="0" w:line="220" w:lineRule="exact"/>
        <w:rPr>
          <w:sz w:val="20"/>
          <w:szCs w:val="20"/>
          <w:color w:val="auto"/>
        </w:rPr>
      </w:pPr>
    </w:p>
    <w:p>
      <w:pPr>
        <w:jc w:val="both"/>
        <w:ind w:firstLine="473"/>
        <w:spacing w:after="0" w:line="270" w:lineRule="auto"/>
        <w:rPr>
          <w:sz w:val="20"/>
          <w:szCs w:val="20"/>
          <w:color w:val="auto"/>
        </w:rPr>
      </w:pPr>
      <w:r>
        <w:rPr>
          <w:rFonts w:ascii="Times New Roman" w:cs="Times New Roman" w:eastAsia="Times New Roman" w:hAnsi="Times New Roman"/>
          <w:sz w:val="18"/>
          <w:szCs w:val="18"/>
          <w:i w:val="1"/>
          <w:iCs w:val="1"/>
          <w:color w:val="auto"/>
        </w:rPr>
        <w:t>Issuer Purchases of Equity Securities</w:t>
      </w:r>
      <w:r>
        <w:rPr>
          <w:rFonts w:ascii="Times New Roman" w:cs="Times New Roman" w:eastAsia="Times New Roman" w:hAnsi="Times New Roman"/>
          <w:sz w:val="18"/>
          <w:szCs w:val="18"/>
          <w:color w:val="auto"/>
        </w:rPr>
        <w:t>. In January 2023, we repurchased 23,415 shares of common stock to satisfy specific tax withholding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arising from accelerated vesting of executive stock grants for an aggregate purchase price of $0.2 million, or $10.22 per share.</w:t>
      </w:r>
    </w:p>
    <w:p>
      <w:pPr>
        <w:spacing w:after="0" w:line="231"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107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364"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107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286" w:lineRule="exact"/>
        <w:rPr>
          <w:sz w:val="20"/>
          <w:szCs w:val="20"/>
          <w:color w:val="auto"/>
        </w:rPr>
      </w:pPr>
    </w:p>
    <w:p>
      <w:pPr>
        <w:jc w:val="both"/>
        <w:ind w:firstLine="204"/>
        <w:spacing w:after="0" w:line="252"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other financial information and consolidated financial statements and related notes appearing elsewhere in this annual report. This discussion contains forward-looking statements that involve risks and uncertainties. Our actual results could differ materially from those anticipated in the forward-looking statements as a result of a variety of factors, including those discussed under the heading “Item 1A. Risk Factors” and elsewhere in this annual report.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2"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We are a leading global provider of innovative and technology-driven connectivity solutions to primarily maritime commercial, leisure, and military/government customers. We provide global high-speed Internet and Voice over Internet Protocol (VoIP) services via satellite to mobile users at sea and on land. We are also a leading provider of commercially licensed entertainment, including news, sports, music, and movies, to commercial customers in the maritime and hotel markets, along with supplemental value-added cybersecurity, email, and crew internet services.</w:t>
      </w:r>
    </w:p>
    <w:p>
      <w:pPr>
        <w:spacing w:after="0" w:line="208"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We generate revenues in the United States and various international locations, including primarily Singapore, Canada, South American countries, European Union countries and other European countries, and countries in Africa, the Middle East and Asia/Pacific, including India. Sales to customers outside the United States accounted for 68% and 63% of our consolidated net revenues for 2023 and 2022, respectively.</w:t>
      </w:r>
    </w:p>
    <w:p>
      <w:pPr>
        <w:spacing w:after="0" w:line="205" w:lineRule="exact"/>
        <w:rPr>
          <w:sz w:val="20"/>
          <w:szCs w:val="20"/>
          <w:color w:val="auto"/>
        </w:rPr>
      </w:pPr>
    </w:p>
    <w:p>
      <w:pPr>
        <w:jc w:val="both"/>
        <w:ind w:firstLine="473"/>
        <w:spacing w:after="0" w:line="247" w:lineRule="auto"/>
        <w:rPr>
          <w:sz w:val="20"/>
          <w:szCs w:val="20"/>
          <w:color w:val="auto"/>
        </w:rPr>
      </w:pPr>
      <w:r>
        <w:rPr>
          <w:rFonts w:ascii="Times New Roman" w:cs="Times New Roman" w:eastAsia="Times New Roman" w:hAnsi="Times New Roman"/>
          <w:sz w:val="18"/>
          <w:szCs w:val="18"/>
          <w:color w:val="auto"/>
        </w:rPr>
        <w:t>We generate a substantial majority of our revenues from sales of satellite Internet airtime services. We provide, for monthly fixed fees and per-usage fees, satellite connectivity encompassing broadband Internet, data and VoIP services, to customers via our global HTS network. Sales of our global HTS airtime services accounted for 81% and 75% of our consolidated net sales for 2023 and 2022, respectively. In mid-2022, we launched our KVH ONE hybrid network, which integrates global satellite service with KVH-provided cellular service in more than 150 countries, along with shore-based Wi-Fi access. Revenue from our cellular airtime service has increasingly supplemented, and we expect will continue to supplement, our satellite-only airtime revenue. In addition, we earn monthly usage fees from sales of third-party satellite connectivity for VoIP, data and Internet services to our Inmarsat, Iridium, and Starlink customers who choose to activate their subscriptions with us. We expect to earn usage fees from OneWeb service upon the launch of that service in 2024. We also generate service revenue from product repairs and extended warranty sales.</w:t>
      </w:r>
    </w:p>
    <w:p>
      <w:pPr>
        <w:spacing w:after="0" w:line="215"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Our service sales also include the distribution of entertainment, including news, sports, music, and movies, to commercial customers in the maritime, hotel, and retail markets through KVH Media Group, along with supplemental value-added services. Sales of content services accounted for 3% and 4% of our consolidated net revenues for 2023 and 2022, respectively.</w:t>
      </w:r>
    </w:p>
    <w:p>
      <w:pPr>
        <w:spacing w:after="0" w:line="205"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Historically, we have also offered satellite communications products, but these products have represented a declining percentage of our revenues in recent years. Our satellite-only and hybrid products enable marine customers to receive data,</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VoIP, and value-added services via satellite, cellular, and shore-based Wi-Fi networks onboard commercial, leisure, and military/government vessels. In addition, our in-motion television terminals permit customers to receive live digital television via regional satellite services in marine vessels, recreational vehicles, buses and automobiles. We sell our products through an extensive international network of dealers and distributors. We also sell and lease products to service providers and end users. Product sales accounted for 13% and 19% of our consolidated net sales for 2023 and 2022, respectively.</w:t>
      </w:r>
    </w:p>
    <w:p>
      <w:pPr>
        <w:spacing w:after="0" w:line="208" w:lineRule="exact"/>
        <w:rPr>
          <w:sz w:val="20"/>
          <w:szCs w:val="20"/>
          <w:color w:val="auto"/>
        </w:rPr>
      </w:pPr>
    </w:p>
    <w:p>
      <w:pPr>
        <w:jc w:val="both"/>
        <w:ind w:firstLine="473"/>
        <w:spacing w:after="0" w:line="247" w:lineRule="auto"/>
        <w:rPr>
          <w:sz w:val="20"/>
          <w:szCs w:val="20"/>
          <w:color w:val="auto"/>
        </w:rPr>
      </w:pPr>
      <w:r>
        <w:rPr>
          <w:rFonts w:ascii="Times New Roman" w:cs="Times New Roman" w:eastAsia="Times New Roman" w:hAnsi="Times New Roman"/>
          <w:sz w:val="18"/>
          <w:szCs w:val="18"/>
          <w:color w:val="auto"/>
        </w:rPr>
        <w:t>In February 2024, we announced a staged wind-down of our product manufacturing operations at our Middletown, Rhode Island location. The wind-down was driven by reduced demand for our hardware products in the face of intensifying competition in the third and fourth quarters of 2023. We concluded that we should discontinue our capital-intensive manufacturing activities and concentrate our efforts on growing sales of our multi-orbit, multi-channel, integrated communications solutions. We expect that we will continue our product manufacturing activities in order to generate a targeted amount of inventory of maritime satellite connectivity and satellite television terminals to meet anticipated demand and that we will cease substantially all manufacturing activity by the end of the second quarter of 2024. We expect to continue to facilitate customer transition to third-party hardware products compatible with our mobile satellite communications services. We also plan to continue to conduct maintenance, service, warehousing, shipping and receiving activities at the Middletown location.</w:t>
      </w:r>
    </w:p>
    <w:p>
      <w:pPr>
        <w:spacing w:after="0" w:line="215"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As part of the restructuring, we expect to reduce our headcount by approximately 75 employees, or approximately 20% of our total workforce as of the time we announced the restructuring. Approximately one-third of the employee terminations have been completed, and the remaining terminations are expected to be completed by the end of the second quarter of 2024. We expect to incur aggregate severance charges of approximately $3.3 million, consisting of approximately $3.0 million of cash charges and approximately $0.3 million of non-cash charges arising from pre-existing contractual obligations to accelerate vesting of certain outstanding equity compensation awards.</w:t>
      </w:r>
    </w:p>
    <w:p>
      <w:pPr>
        <w:spacing w:after="0" w:line="214"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In the fourth quarter of 2023, we also recorded a $2.1 million charge related to the write-off of certain costs for a new accounting system intended for use in connection with our manufacturing operations.</w:t>
      </w:r>
    </w:p>
    <w:p>
      <w:pPr>
        <w:spacing w:after="0" w:line="195"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Our marine leisure business has been highly seasonal, and seasonality can also impact our commercial marine business. Temporary suspensions of our airtime services typically increase in the third and fourth quarters of each year as boats are placed out of service during the winter months. Historically, we have generated the majority of our marine leisure product revenues during the first and second quarters of each year, and these revenues typically decline in the third and fourth quarters of each year, compared to the first two quarters.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Charge</w:t>
      </w:r>
    </w:p>
    <w:p>
      <w:pPr>
        <w:spacing w:after="0" w:line="244" w:lineRule="exact"/>
        <w:rPr>
          <w:sz w:val="20"/>
          <w:szCs w:val="20"/>
          <w:color w:val="auto"/>
        </w:rPr>
      </w:pPr>
    </w:p>
    <w:p>
      <w:pPr>
        <w:jc w:val="both"/>
        <w:ind w:firstLine="473"/>
        <w:spacing w:after="0" w:line="248" w:lineRule="auto"/>
        <w:rPr>
          <w:sz w:val="20"/>
          <w:szCs w:val="20"/>
          <w:color w:val="auto"/>
        </w:rPr>
      </w:pPr>
      <w:r>
        <w:rPr>
          <w:rFonts w:ascii="Times New Roman" w:cs="Times New Roman" w:eastAsia="Times New Roman" w:hAnsi="Times New Roman"/>
          <w:sz w:val="18"/>
          <w:szCs w:val="18"/>
          <w:color w:val="auto"/>
        </w:rPr>
        <w:t>During the year ended December 31, 2023, aggregate impairment charges of $6.0 million were taken against goodwill and long-lived assets for the Mobile Broadband reporting unit and the KVH Media Group reporting unit. The $6.0 million impairment charges were driven by the significant decline in our stock price that followed the August 9, 2023 announcement of our financial results for the second quarter of 2023. Under applicable accounting rules, this circumstance required us to evaluate our goodwill and long-lived assets for impairment. Given the sustained decline in the market value of our outstanding equity and the uncertain impact of ongoing competition, we concluded that this impairment charge was appropriate as of September 30, 2023. Please see Note 8 of our accompanying financial statements for further information.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Excess and Obsolete Inventory and Excess Purchase Orders</w:t>
      </w:r>
    </w:p>
    <w:p>
      <w:pPr>
        <w:spacing w:after="0" w:line="244"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In 2023, we recorded a $5.2 million charge related to the inventory write-down and a $3.6 million charge for excess purchase order obligations, both relating to the reduced demand for our hardware products, which has led to the staged wind-down of our manufacturing activities at our facility in Middletown, Rhode Island noted above. Please see Note 15 of our accompanying financial statements for additional details surrounding the wind-down of our manufacturing activities.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w:t>
      </w:r>
    </w:p>
    <w:p>
      <w:pPr>
        <w:spacing w:after="0" w:line="244"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During 2022 and 2023, we continued to experience delays in the availability and delivery of certain raw material components. We also experienced increased raw material costs. We are continuing to monitor global developments, including the impact of inflation, and are prepared to implement actions that we determine to be necessary to sustain our business.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Dispositions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jc w:val="both"/>
        <w:ind w:firstLine="473"/>
        <w:spacing w:after="0" w:line="247" w:lineRule="auto"/>
        <w:rPr>
          <w:sz w:val="20"/>
          <w:szCs w:val="20"/>
          <w:color w:val="auto"/>
        </w:rPr>
      </w:pPr>
      <w:r>
        <w:rPr>
          <w:rFonts w:ascii="Times New Roman" w:cs="Times New Roman" w:eastAsia="Times New Roman" w:hAnsi="Times New Roman"/>
          <w:sz w:val="18"/>
          <w:szCs w:val="18"/>
          <w:color w:val="auto"/>
        </w:rPr>
        <w:t>On August 9, 2022, we sold our inertial navigation business to EMCORE Corporation for net proceeds of $54.9 million, less specified deductions. We also agreed to provide certain transition services for six months following the sale with two extension options of three months each. We received both fixed monthly fees of approximately $0.1 million as well as variable amounts for certain additional services with escalation increases on the fixed and variable rates for each extension option. We did not have any continuing involvement in these operations other than short-term transition services, which were recorded as an offset to general and administrative expenses in continuing operations. We determined that the sale met the requirements for reporting as discontinued operations in accordance with Financial Accounting Standards Board Accounting Standards Codification (ASC) 205-20. Please see Notes 1 and 14 of our accompanying audited consolidated financial statements for further information.</w:t>
      </w:r>
    </w:p>
    <w:p>
      <w:pPr>
        <w:spacing w:after="0" w:line="218"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On April 29, 2022, we sold KVH Media Group Entertainment Limited for net cash proceeds of $2.4 million. This transaction did not meet the criteria for reporting as discontinued operations under ASC 205-20. We recorded a gain on the sale of approximately $0.6 million, which is recorded in other income, net in the accompanying consolidated statements of operations. See Note 8 to our accompanying audited consolidated financial statements for the reduction of goodwill and intangibles associated with the KVH Media Group reporting unit as it relates to the sale of this subsidiary.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Transition and Restructurings</w:t>
      </w:r>
    </w:p>
    <w:p>
      <w:pPr>
        <w:spacing w:after="0" w:line="244" w:lineRule="exact"/>
        <w:rPr>
          <w:sz w:val="20"/>
          <w:szCs w:val="20"/>
          <w:color w:val="auto"/>
        </w:rPr>
      </w:pPr>
    </w:p>
    <w:p>
      <w:pPr>
        <w:jc w:val="both"/>
        <w:ind w:firstLine="473"/>
        <w:spacing w:after="0" w:line="303" w:lineRule="auto"/>
        <w:rPr>
          <w:sz w:val="20"/>
          <w:szCs w:val="20"/>
          <w:color w:val="auto"/>
        </w:rPr>
      </w:pPr>
      <w:r>
        <w:rPr>
          <w:rFonts w:ascii="Times New Roman" w:cs="Times New Roman" w:eastAsia="Times New Roman" w:hAnsi="Times New Roman"/>
          <w:sz w:val="16"/>
          <w:szCs w:val="16"/>
          <w:color w:val="auto"/>
        </w:rPr>
        <w:t>On March 7, 2022, we announced the retirement of our President and Chief Executive Officer, Martin Kits van Heyningen. We negotiated a separation and consulting agreement with Mr. Kits van Heyningen, pursuant to which we provided a separation payment, consulting fees and health insurance coverage, as well as reimbursement of certain professional and advisory fees. We incurred aggregate costs relating to the separation agreement of $0.5 million.</w:t>
      </w:r>
    </w:p>
    <w:p>
      <w:pPr>
        <w:spacing w:after="0" w:line="171"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In March 2022, we also restructured our operations to reduce costs and pursue a more focused strategy. We reduced our workforce by approximately 10% and began incurring reduced expenses from these actions beginning in the second quarter of 2022. Approximately $2.2 million of severance payments, other employee benefits, and legal and advisory fees were incurred in connection with this restructuring for the year ended December 31, 2022. We did not incur any additional expenses associated with this restructuring for the year ended December 31, 2023. We also modified impacted employee's stock option and restricted stock awards.</w:t>
      </w:r>
    </w:p>
    <w:p>
      <w:pPr>
        <w:spacing w:after="0" w:line="214"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During the third quarter of 2022, we restructured our foreign operations by closing our India and Cyprus offices and our Denmark warehouse to reduce costs. Approximately $0.4 million of severance payments, other employee benefits, and legal and advisory fees were incurred in connection with this restructuring for the year ended December 31, 2022. We did not incur any additional expenses associated with this restructuring for the year ended December 31, 2023.</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Employment Agreements</w:t>
      </w:r>
    </w:p>
    <w:p>
      <w:pPr>
        <w:spacing w:after="0" w:line="244" w:lineRule="exact"/>
        <w:rPr>
          <w:sz w:val="20"/>
          <w:szCs w:val="20"/>
          <w:color w:val="auto"/>
        </w:rPr>
      </w:pPr>
    </w:p>
    <w:p>
      <w:pPr>
        <w:jc w:val="both"/>
        <w:ind w:firstLine="473"/>
        <w:spacing w:after="0" w:line="248" w:lineRule="auto"/>
        <w:rPr>
          <w:sz w:val="20"/>
          <w:szCs w:val="20"/>
          <w:color w:val="auto"/>
        </w:rPr>
      </w:pPr>
      <w:r>
        <w:rPr>
          <w:rFonts w:ascii="Times New Roman" w:cs="Times New Roman" w:eastAsia="Times New Roman" w:hAnsi="Times New Roman"/>
          <w:sz w:val="18"/>
          <w:szCs w:val="18"/>
          <w:color w:val="auto"/>
        </w:rPr>
        <w:t>In May 2022, we entered into executive employment agreements with each of Brent C. Bruun, Roger A. Kuebel, Felise Feingold and Robert Balog in order to retain their services and provide them with certain termination and change of control benefits. The terms of the agreements are substantially identical except as to title, salary, target bonus and reporting responsibilities. In October 2022, we entered into an amendment to the agreement with Mr. Bruun. Pursuant to these agreements, Messrs. Kuebel and Balog and Ms. Feingold earned aggregate retention bonuses of $0.7 million by remaining employed with us through December 31, 2022, and Mr. Bruun earned a retention bonus of $0.4 million by remaining employed with us through December 31, 2023. On December 31, 2022, all four executives also became entitled to one year of accelerated vesting of their outstanding equity awards.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following table provides, for the periods indicated, certain financial data relating to our continuing operations expressed as a percentage of net sales: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7"/>
          </w:tcPr>
          <w:p>
            <w:pPr>
              <w:jc w:val="right"/>
              <w:ind w:right="753"/>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7"/>
        </w:trPr>
        <w:tc>
          <w:tcPr>
            <w:tcW w:w="474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Sales:</w:t>
            </w: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Product</w:t>
            </w: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Service</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17"/>
        </w:trPr>
        <w:tc>
          <w:tcPr>
            <w:tcW w:w="4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sales</w:t>
            </w: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Costs of product sales</w:t>
            </w: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Costs of service sales</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23"/>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marketing and support</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23"/>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 impairment charge</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Long-lived assets impairment charge</w:t>
            </w:r>
          </w:p>
        </w:tc>
        <w:tc>
          <w:tcPr>
            <w:tcW w:w="4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17"/>
        </w:trPr>
        <w:tc>
          <w:tcPr>
            <w:tcW w:w="4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Loss from operations</w:t>
            </w: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2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7"/>
        </w:trPr>
        <w:tc>
          <w:tcPr>
            <w:tcW w:w="5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Loss from continuing operations before income taxes expense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from continuing operations</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7"/>
        </w:trPr>
        <w:tc>
          <w:tcPr>
            <w:tcW w:w="4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47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4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Our net sales for 2023 and 2022 were as follows:</w:t>
            </w: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0" w:type="dxa"/>
            <w:vAlign w:val="bottom"/>
            <w:gridSpan w:val="6"/>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700" w:type="dxa"/>
            <w:vAlign w:val="bottom"/>
          </w:tcPr>
          <w:p>
            <w:pPr>
              <w:spacing w:after="0"/>
              <w:rPr>
                <w:sz w:val="17"/>
                <w:szCs w:val="17"/>
                <w:color w:val="auto"/>
              </w:rPr>
            </w:pPr>
          </w:p>
        </w:tc>
        <w:tc>
          <w:tcPr>
            <w:tcW w:w="1420" w:type="dxa"/>
            <w:vAlign w:val="bottom"/>
            <w:gridSpan w:val="5"/>
          </w:tcPr>
          <w:p>
            <w:pPr>
              <w:jc w:val="center"/>
              <w:ind w:left="354"/>
              <w:spacing w:after="0"/>
              <w:rPr>
                <w:sz w:val="20"/>
                <w:szCs w:val="20"/>
                <w:color w:val="auto"/>
              </w:rPr>
            </w:pPr>
            <w:r>
              <w:rPr>
                <w:rFonts w:ascii="Times New Roman" w:cs="Times New Roman" w:eastAsia="Times New Roman" w:hAnsi="Times New Roman"/>
                <w:sz w:val="14"/>
                <w:szCs w:val="14"/>
                <w:b w:val="1"/>
                <w:bCs w:val="1"/>
                <w:color w:val="auto"/>
                <w:w w:val="98"/>
              </w:rPr>
              <w:t>2023 vs. 2022</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47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7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80" w:type="dxa"/>
            <w:vAlign w:val="bottom"/>
            <w:gridSpan w:val="3"/>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26,842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3"/>
            <w:shd w:val="clear" w:color="auto" w:fill="CCEEFF"/>
          </w:tcPr>
          <w:p>
            <w:pPr>
              <w:jc w:val="center"/>
              <w:ind w:left="154"/>
              <w:spacing w:after="0"/>
              <w:rPr>
                <w:sz w:val="20"/>
                <w:szCs w:val="20"/>
                <w:color w:val="auto"/>
              </w:rPr>
            </w:pPr>
            <w:r>
              <w:rPr>
                <w:rFonts w:ascii="Times New Roman" w:cs="Times New Roman" w:eastAsia="Times New Roman" w:hAnsi="Times New Roman"/>
                <w:sz w:val="18"/>
                <w:szCs w:val="18"/>
                <w:color w:val="auto"/>
                <w:w w:val="95"/>
              </w:rPr>
              <w:t>(9,085)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 sales</w:t>
            </w: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114,622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111,908</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center"/>
              <w:ind w:left="234"/>
              <w:spacing w:after="0"/>
              <w:rPr>
                <w:sz w:val="20"/>
                <w:szCs w:val="20"/>
                <w:color w:val="auto"/>
              </w:rPr>
            </w:pPr>
            <w:r>
              <w:rPr>
                <w:rFonts w:ascii="Times New Roman" w:cs="Times New Roman" w:eastAsia="Times New Roman" w:hAnsi="Times New Roman"/>
                <w:sz w:val="18"/>
                <w:szCs w:val="18"/>
                <w:color w:val="auto"/>
                <w:w w:val="93"/>
              </w:rPr>
              <w:t>2,714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42"/>
        </w:trPr>
        <w:tc>
          <w:tcPr>
            <w:tcW w:w="4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sales</w:t>
            </w:r>
          </w:p>
        </w:tc>
        <w:tc>
          <w:tcPr>
            <w:tcW w:w="4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132,379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138,750</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gridSpan w:val="3"/>
            <w:shd w:val="clear" w:color="auto" w:fill="CCEEFF"/>
          </w:tcPr>
          <w:p>
            <w:pPr>
              <w:jc w:val="center"/>
              <w:ind w:left="154"/>
              <w:spacing w:after="0"/>
              <w:rPr>
                <w:sz w:val="20"/>
                <w:szCs w:val="20"/>
                <w:color w:val="auto"/>
              </w:rPr>
            </w:pPr>
            <w:r>
              <w:rPr>
                <w:rFonts w:ascii="Times New Roman" w:cs="Times New Roman" w:eastAsia="Times New Roman" w:hAnsi="Times New Roman"/>
                <w:sz w:val="18"/>
                <w:szCs w:val="18"/>
                <w:color w:val="auto"/>
                <w:w w:val="95"/>
              </w:rPr>
              <w:t>(6,371)</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Net sales decreased by $6.4 million, or 5%, in 2023 as compared to 2022. Product sales decreased by $9.1 million, or 34%, to $17.8 million in 2023 from $26.8 million in 2022. The decrease in product sales was primarily the result of a $6.2 million decrease in TracVision product sales and a $4.2 million decrease in VSAT Broadband product sales, partially offset by a $1.7 million increase in Starlink product sales. The decline in product sales was primarily due to a decrease in unit sales volume, particularly in our global leisure segment. Competition from low-cost alternatives to VSAT, which include streaming capabilities, has had a significant impact on sales of both TracVision and VSAT Broadband products in the leisure segment.</w:t>
      </w:r>
    </w:p>
    <w:p>
      <w:pPr>
        <w:spacing w:after="0" w:line="214"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Service sales increased by $2.7 million, or 2%, to $114.6 million in 2023 from $111.9 million in 2022. The increase was primarily due to a $3.9 million increase in our VSAT service sales driven by an increase in average subscribers, partially offset by a $1.0 million decrease in our content services sales, primarily driven by the sale of a subsidiary in April 2022. While service sales grew in 2023, alternative solutions offered by recent LEO entrants have heightened competition in the global leisure segment, and in commercial and government markets. As a result, service sales declined in the fourth quarter of 2023.</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473"/>
        <w:spacing w:after="0" w:line="288" w:lineRule="auto"/>
        <w:rPr>
          <w:sz w:val="20"/>
          <w:szCs w:val="20"/>
          <w:color w:val="auto"/>
        </w:rPr>
      </w:pPr>
      <w:r>
        <w:rPr>
          <w:rFonts w:ascii="Times New Roman" w:cs="Times New Roman" w:eastAsia="Times New Roman" w:hAnsi="Times New Roman"/>
          <w:sz w:val="16"/>
          <w:szCs w:val="16"/>
          <w:color w:val="auto"/>
        </w:rPr>
        <w:t>In the first quarter of 2024, the U.S. Coast Guard, which accounted for approximately $11 million of our service sales in 2023, advised us that it intends to transition its primary satellite service relationship on the vessels we currently serve to Starlink. We are in the process of negotiating a revision to our contract with the Coast Guard to continue our service as a backup system, but we are unable to anticipate the final outcome. Because our current agreement is structured as an indefinite delivery/indefinite quantity contract, the Coast Guard can modify the terms of future deliveries at any time and in any amount. As a result of these developments, we currently anticipate a material decline in revenue from the Coast Guard starting in the second quarter of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Sales</w:t>
      </w:r>
    </w:p>
    <w:p>
      <w:pPr>
        <w:spacing w:after="0" w:line="244"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Costs of sales consists of costs of product sales and costs of service sales. Costs of sales increased by $8.3 million, or 10%, in 2023 to $94.5 million from $86.3 million in 2022. The increase in costs of sales was driven by a $4.3 million increase in costs of service sales and a $4.0 million increase in costs of product sales. As a percentage of net sales, costs of sales were 71% and 62% for 2023 and 2022, respectively.</w:t>
      </w:r>
    </w:p>
    <w:p>
      <w:pPr>
        <w:spacing w:after="0" w:line="205" w:lineRule="exact"/>
        <w:rPr>
          <w:sz w:val="20"/>
          <w:szCs w:val="20"/>
          <w:color w:val="auto"/>
        </w:rPr>
      </w:pPr>
    </w:p>
    <w:p>
      <w:pPr>
        <w:jc w:val="both"/>
        <w:ind w:firstLine="473"/>
        <w:spacing w:after="0" w:line="281" w:lineRule="auto"/>
        <w:rPr>
          <w:sz w:val="20"/>
          <w:szCs w:val="20"/>
          <w:color w:val="auto"/>
        </w:rPr>
      </w:pPr>
      <w:r>
        <w:rPr>
          <w:rFonts w:ascii="Times New Roman" w:cs="Times New Roman" w:eastAsia="Times New Roman" w:hAnsi="Times New Roman"/>
          <w:sz w:val="16"/>
          <w:szCs w:val="16"/>
          <w:color w:val="auto"/>
        </w:rPr>
        <w:t>Our costs of product sales consist primarily of materials, manufacturing overhead, and direct labor used to produce our products. For 2023, costs of product sales increased by $4.0 million, or 16%, to $29.1 million from $25.2 million in 2022, primarily due a $6.8 million increase in various manufacturing and other unabsorbed expenses, $3.6 million of excess purchase order obligations, a $1.7 million increase in Starlink cost of product sales and a $0.3 million increase in accessories cost of product sales, partially offset by a $4.7 million decrease in TracVision cost of product sales and a $3.3 million decrease in VSAT Broadband cost of product sales. The manufacturing and other unabsorbed costs included a $6.6 million inventory write-down, as well as lower unit volume, resulting in less absorption of overhead. The excess purchase order obligations relate to unconditional purchase orders outstanding as of December 31, 2023 that we determined, in connection with the preparation of our audited financial statements for 2023, would exceed our anticipated needs. Please see Note 15 to our accompanying audited financial statements for further information. As a percentage of product sales, costs of product sales were 164% and 94% for 2023 and 2022, respectively. Cost of product sales increased as a percentage of product sales primarily due to the increase in the excess and obsolescence reserve, the write-down of inventory, excess purchase order obligations and $0.8 million of higher unit component costs.</w:t>
      </w:r>
    </w:p>
    <w:p>
      <w:pPr>
        <w:spacing w:after="0" w:line="200" w:lineRule="exact"/>
        <w:rPr>
          <w:sz w:val="20"/>
          <w:szCs w:val="20"/>
          <w:color w:val="auto"/>
        </w:rPr>
      </w:pPr>
    </w:p>
    <w:p>
      <w:pPr>
        <w:spacing w:after="0" w:line="201" w:lineRule="exact"/>
        <w:rPr>
          <w:sz w:val="20"/>
          <w:szCs w:val="20"/>
          <w:color w:val="auto"/>
        </w:rPr>
      </w:pPr>
    </w:p>
    <w:p>
      <w:pPr>
        <w:jc w:val="both"/>
        <w:ind w:firstLine="473"/>
        <w:spacing w:after="0" w:line="247" w:lineRule="auto"/>
        <w:rPr>
          <w:sz w:val="20"/>
          <w:szCs w:val="20"/>
          <w:color w:val="auto"/>
        </w:rPr>
      </w:pPr>
      <w:r>
        <w:rPr>
          <w:rFonts w:ascii="Times New Roman" w:cs="Times New Roman" w:eastAsia="Times New Roman" w:hAnsi="Times New Roman"/>
          <w:sz w:val="18"/>
          <w:szCs w:val="18"/>
          <w:color w:val="auto"/>
        </w:rPr>
        <w:t>Our costs of service sales consist primarily of satellite service capacity, depreciation, service network overhead expense associated with our global HTS network infrastructure, direct network service labor, Iridium and Inmarsat service costs, product installation costs, media materials and distribution costs, and service repair materials. For 2023, costs of service sales increased by $4.3 million, or 7%, to $65.4 million from $61.1 million in 2022. Costs of service sales increase primarily due to a $4.4 million increase in VSAT Broadband airtime costs of service sales. The increase in airtime cost of sales is primarily related to capacity increases to support growth in our airtime subscriber base. This was partially offset by a $0.3 million decrease in content services cost of service sales, primarily driven by the sale of a subsidiary in April 2022. As a percentage of service sales, costs of service sales were 57% and 55% for 2023 and 2022, respectively.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44"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Research and development expense consists of direct labor, materials, external consultants, and related overhead costs that support our internally funded product development and product sustaining engineering activities. Research and development expense for 2023 decreased by $1.0 million, or 9%, to $9.4 million from $10.4 million in 2022. The decrease in research and development expense resulted primarily from a $0.8 million decrease in salaries, benefits and taxes driven by the reduction in our workforce in March 2022. As a percentage of net sales, research and development expense was 7% and 8% in 2023 and 2022, respectively.</w:t>
      </w:r>
    </w:p>
    <w:p>
      <w:pPr>
        <w:spacing w:after="0" w:line="214" w:lineRule="exact"/>
        <w:rPr>
          <w:sz w:val="20"/>
          <w:szCs w:val="20"/>
          <w:color w:val="auto"/>
        </w:rPr>
      </w:pPr>
    </w:p>
    <w:p>
      <w:pPr>
        <w:jc w:val="both"/>
        <w:ind w:firstLine="473"/>
        <w:spacing w:after="0" w:line="247" w:lineRule="auto"/>
        <w:rPr>
          <w:sz w:val="20"/>
          <w:szCs w:val="20"/>
          <w:color w:val="auto"/>
        </w:rPr>
      </w:pPr>
      <w:r>
        <w:rPr>
          <w:rFonts w:ascii="Times New Roman" w:cs="Times New Roman" w:eastAsia="Times New Roman" w:hAnsi="Times New Roman"/>
          <w:sz w:val="18"/>
          <w:szCs w:val="18"/>
          <w:color w:val="auto"/>
        </w:rPr>
        <w:t>Sales, marketing, and support expense consists primarily of salaries and related expenses for sales and marketing personnel, commissions for both in-house and third-party representatives, costs related to the co-development of certain content, other sales and marketing support costs such as advertising, literature and promotional materials, product service personnel and support costs, warranty-related costs and bad debt expense. Sales, marketing and support expense also includes the operating expenses of our sales office subsidiaries in Denmark, Singapore, Brazil, and Japan. Sales, marketing, and support expense decreased by $2.3 million, or 10%, to $20.9 million in 2023 from $23.2 million in 2022. The decrease in sales, marketing and support expense resulted primarily from a $2.9 million decrease in salaries, benefits and taxes driven by the reduction in our workforce in March 2022 and a $0.7 million decrease in external commission expense, partially offset by a $0.9 million increase in facilities expense and a $0.2 million increase in travel expense. As a percentage of net sales, sales, marketing and support expense was 16% and 17% in 2023 and 2022, respectively.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473"/>
        <w:spacing w:after="0" w:line="246" w:lineRule="auto"/>
        <w:rPr>
          <w:sz w:val="20"/>
          <w:szCs w:val="20"/>
          <w:color w:val="auto"/>
        </w:rPr>
      </w:pPr>
      <w:r>
        <w:rPr>
          <w:rFonts w:ascii="Times New Roman" w:cs="Times New Roman" w:eastAsia="Times New Roman" w:hAnsi="Times New Roman"/>
          <w:sz w:val="18"/>
          <w:szCs w:val="18"/>
          <w:color w:val="auto"/>
        </w:rPr>
        <w:t>General and administrative expense consists of costs attributable to management, finance and accounting, information technology, human resources, certain outside professional services, and other administrative costs. General and administrative expense for 2023 decreased by $5.8 million, or 23%, to $18.9 million from $24.7 million for 2022. The decrease in general and administrative expense resulted primarily from a $5.7 million decrease in salaries, benefits and taxes driven by the reduction in our workforce in March 2022, as well as a reduction in expenses related to the separation and retirement of our former President and Chief Executive Officer in March 2022. There was also a $0.6 million decrease in recruiting expense, which was driven by professional fees incurred during 2022 associated with the search for a new Chief Executive Officer and replacements for two departed members of our board of directors. Lastly, there was a $0.5 million decrease in facilities expense, a $0.5 million decrease in depreciation and amortization expense, a $0.3 million decrease in software license expense and a $0.3 million decrease in bank fees. Partially offsetting these items were a $2.1 million charge for the discontinuation of a project for implementing a new manufacturing-centric accounting system and a $0.3 million reduction in reimbursements made by EMCORE for expenses incurred under the transition services agreement relating to the sale of the inertial navigation business in 2022. As a percentage of net sales, general and administrative expense was 14% and 18% for 2023 and 2022,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(Expense) Income, Net</w:t>
      </w:r>
    </w:p>
    <w:p>
      <w:pPr>
        <w:spacing w:after="0" w:line="244" w:lineRule="exact"/>
        <w:rPr>
          <w:sz w:val="20"/>
          <w:szCs w:val="20"/>
          <w:color w:val="auto"/>
        </w:rPr>
      </w:pPr>
    </w:p>
    <w:p>
      <w:pPr>
        <w:jc w:val="both"/>
        <w:ind w:firstLine="473"/>
        <w:spacing w:after="0" w:line="248" w:lineRule="auto"/>
        <w:rPr>
          <w:sz w:val="20"/>
          <w:szCs w:val="20"/>
          <w:color w:val="auto"/>
        </w:rPr>
      </w:pPr>
      <w:r>
        <w:rPr>
          <w:rFonts w:ascii="Times New Roman" w:cs="Times New Roman" w:eastAsia="Times New Roman" w:hAnsi="Times New Roman"/>
          <w:sz w:val="18"/>
          <w:szCs w:val="18"/>
          <w:color w:val="auto"/>
        </w:rPr>
        <w:t>Interest income represents interest earned on our cash and cash equivalents, as well as from investments and our sale-type lease receivables. Interest income increased by $2.1 million to $3.6 million from $1.5 million for 2022. Of the current period interest income of $3.6 million, $3.0 million is attributable to interest earned on cash and cash equivalents, while the remaining $0.6 million was attributable to interest from lease receivables. Other (expense) income, net changed to other expense, net of $1.4 million for 2023 from other income, net of $0.8 million for 2022 primarily due to the $0.7 million gain on sale of KVH Media Group Entertainment Limited in 2022, a $0.6 million increase in foreign exchange losses from our UK operations, a $0.5 million increase in the loss on disposal of fixed assets, and a $0.3 million loss in 2023 on an unfavorable future contract.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Income tax expense for 2023 and 2022 was $0.3 million and $0.5 million, respectively, and related to taxes on income earned in foreign jurisdictions.</w:t>
      </w:r>
    </w:p>
    <w:p>
      <w:pPr>
        <w:spacing w:after="0" w:line="263"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The effective tax rate from continuing operations for 2023 and 2022 was (2.1)% and (15.8)%, respectively. For 2023 and 2022, the effective tax rates from continuing operations differed from the statutory tax rate primarily due to our maintaining a valuation allowance reserve on our U.S. deferred tax assets, impairment of goodwill, discrete tax adjustments and the composition of income from foreign jurisdictions taxed at lower rates.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244"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On August 9, 2022, we sold our inertial navigation business for net proceeds of $54.9 million, less specified deductions. We determined that the sale met the requirements for reporting as discontinued operations in accordance with ASC 205-20. Accordingly, we have classified the results of the inertial navigation business as discontinued operations for all prior periods presented. Please see Notes 1 and 14 to our accompanying audited consolidated financial statements for further information. Results for discontinued operations are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r>
      <w:tr>
        <w:trPr>
          <w:trHeight w:val="24"/>
        </w:trPr>
        <w:tc>
          <w:tcPr>
            <w:tcW w:w="8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184"/>
        </w:trPr>
        <w:tc>
          <w:tcPr>
            <w:tcW w:w="89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960" w:type="dxa"/>
            <w:vAlign w:val="bottom"/>
            <w:tcBorders>
              <w:bottom w:val="single" w:sz="8" w:color="auto"/>
            </w:tcBorders>
            <w:shd w:val="clear" w:color="auto" w:fill="CCEEFF"/>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23"/>
        </w:trPr>
        <w:tc>
          <w:tcPr>
            <w:tcW w:w="8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center"/>
              <w:ind w:right="118"/>
              <w:spacing w:after="0"/>
              <w:rPr>
                <w:sz w:val="20"/>
                <w:szCs w:val="20"/>
                <w:color w:val="auto"/>
              </w:rPr>
            </w:pPr>
            <w:r>
              <w:rPr>
                <w:rFonts w:ascii="Times New Roman" w:cs="Times New Roman" w:eastAsia="Times New Roman" w:hAnsi="Times New Roman"/>
                <w:sz w:val="18"/>
                <w:szCs w:val="18"/>
                <w:b w:val="1"/>
                <w:bCs w:val="1"/>
                <w:i w:val="1"/>
                <w:iCs w:val="1"/>
                <w:color w:val="auto"/>
                <w:w w:val="97"/>
              </w:rPr>
              <w:t>(dollar in thousands)</w:t>
            </w:r>
          </w:p>
        </w:tc>
      </w:tr>
      <w:tr>
        <w:trPr>
          <w:trHeight w:val="223"/>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from discontinued operations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16,721</w:t>
            </w:r>
          </w:p>
        </w:tc>
      </w:tr>
      <w:tr>
        <w:trPr>
          <w:trHeight w:val="22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discontinued operations before tax expense</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30,763</w:t>
            </w:r>
          </w:p>
        </w:tc>
      </w:tr>
      <w:tr>
        <w:trPr>
          <w:trHeight w:val="223"/>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28,025</w:t>
            </w: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42"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upon our consolidated financial statements, which have been prepared in accordance with accounting principles generally accepted in the United States. The preparation of these financial statements requires us to make estimates and judgments that affect the reported amounts of assets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and liabilities, revenues and expenses, and related disclosure at the date of our financial statements. Our significant accounting policies are summarized in Note 1 to our accompanying audited consolidated financial statements. Critical accounting estimates are those estimates made that involve a significant level of estimation uncertainty and have had or are reasonably likely to have an impact on our statement of operations. We believe that our accounting estimates for goodwill, intangible assets, and other long-lived assets are the only estimates critical to an understanding and evaluation of our financial results for 2023, as discussed below.</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Intangible Assets, and other Long-Lived Assets</w:t>
      </w:r>
    </w:p>
    <w:p>
      <w:pPr>
        <w:spacing w:after="0" w:line="244"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In accordance with ASC Update No. 2017-04, Intangibles-Goodwill and Other (Topic 350): Simplifying the Test of Goodwill Impairment (ASC 350), we perform a goodwill impairment test at least annually, or more frequently if certain events occur, or circumstances change, that indicate it is more likely than not that the fair value of a reporting unit is less than its carrying amount (frequently referred to as impairment indicators or triggering events). A goodwill impairment loss is recognized for the amount that the carrying amount of a reporting unit, including goodwill, exceeds its fair value, limited to the total amount of goodwill allocated to that reporting unit.</w:t>
      </w:r>
    </w:p>
    <w:p>
      <w:pPr>
        <w:spacing w:after="0" w:line="214" w:lineRule="exact"/>
        <w:rPr>
          <w:sz w:val="20"/>
          <w:szCs w:val="20"/>
          <w:color w:val="auto"/>
        </w:rPr>
      </w:pPr>
    </w:p>
    <w:p>
      <w:pPr>
        <w:jc w:val="both"/>
        <w:ind w:firstLine="473"/>
        <w:spacing w:after="0" w:line="248" w:lineRule="auto"/>
        <w:rPr>
          <w:sz w:val="20"/>
          <w:szCs w:val="20"/>
          <w:color w:val="auto"/>
        </w:rPr>
      </w:pPr>
      <w:r>
        <w:rPr>
          <w:rFonts w:ascii="Times New Roman" w:cs="Times New Roman" w:eastAsia="Times New Roman" w:hAnsi="Times New Roman"/>
          <w:sz w:val="18"/>
          <w:szCs w:val="18"/>
          <w:color w:val="auto"/>
        </w:rPr>
        <w:t>Intangible assets with finite lives and other long-lived assets are reviewed for impairment whenever events or changes in circumstances indicate that the carrying amount of an asset may not be recoverable. Recoverability of intangible assets with finite lives and other long-lived assets is measured by a comparison of the carrying amount of an asset or asset group to future undiscounted cash flows expected to be generated by the asset or asset group. Asset groups are determined at the lowest level for which identifiable cash flows are largely independent of the cash flows of other assets and liabilities. If these comparisons indicate that an asset is not recoverable, we will recognize an impairment loss for the amount by which the carrying value of the asset or asset group exceeds the related estimated fair value.</w:t>
      </w:r>
    </w:p>
    <w:p>
      <w:pPr>
        <w:spacing w:after="0" w:line="215"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In the third quarter of 2023, we observed a sustained stock price decline resulting in a significant shortfall in market capitalization when compared to the aggregate carrying value of our net assets. These circumstances led us to conclude that quantitative goodwill impairment assessments of the Mobile Broadband (MBB) and KVH Media Group (Media) reporting units were required.</w:t>
      </w:r>
    </w:p>
    <w:p>
      <w:pPr>
        <w:spacing w:after="0" w:line="205" w:lineRule="exact"/>
        <w:rPr>
          <w:sz w:val="20"/>
          <w:szCs w:val="20"/>
          <w:color w:val="auto"/>
        </w:rPr>
      </w:pPr>
    </w:p>
    <w:p>
      <w:pPr>
        <w:jc w:val="both"/>
        <w:ind w:firstLine="473"/>
        <w:spacing w:after="0" w:line="246" w:lineRule="auto"/>
        <w:rPr>
          <w:sz w:val="20"/>
          <w:szCs w:val="20"/>
          <w:color w:val="auto"/>
        </w:rPr>
      </w:pPr>
      <w:r>
        <w:rPr>
          <w:rFonts w:ascii="Times New Roman" w:cs="Times New Roman" w:eastAsia="Times New Roman" w:hAnsi="Times New Roman"/>
          <w:sz w:val="18"/>
          <w:szCs w:val="18"/>
          <w:color w:val="auto"/>
        </w:rPr>
        <w:t>Fair value determinations require considerable judgment and are sensitive to changes in underlying assumptions, estimates, and market factors. Estimating the fair value of individual reporting units requires us to make assumptions and estimates regarding future plans, as well as industry and economic conditions. These assumptions and estimates include estimated future cash flows, income tax rates, discount rates, growth rates, and other market factors. In performing the quantitative assessment, we estimated the fair value of its reporting units using the income approach, also known as the discounted cash flow ("DCF") method, which utilizes the present value of cash flows to estimate fair value. The DCF method involves estimating the discounted cash flows of a reporting unit by forecasting cash flows each year, calculating a terminal value, and discounting all of the cash flows to present value at an appropriate discount rate (in consideration of the time value of money, the risk inherent in the cash flow stream, and in the context of current rates of return for equity and debt capital). The final determination of fair value was based on a probability-weighted approach comparing management’s forecasts with a market expectation forecast.</w:t>
      </w:r>
    </w:p>
    <w:p>
      <w:pPr>
        <w:spacing w:after="0" w:line="220"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As of September 30, 2023, the determined fair values of the MBB and Media reporting units were lower than their carrying values. After recognition of a long-lived asset impairment charge (as discussed below), we recognized goodwill impairment charges equal to the total amount of goodwill attributed to the MBB and Media reporting units, which were approximately $4.4 million and $0.9 million, respectively.</w:t>
      </w:r>
    </w:p>
    <w:p>
      <w:pPr>
        <w:spacing w:after="0" w:line="205" w:lineRule="exact"/>
        <w:rPr>
          <w:sz w:val="20"/>
          <w:szCs w:val="20"/>
          <w:color w:val="auto"/>
        </w:rPr>
      </w:pPr>
    </w:p>
    <w:p>
      <w:pPr>
        <w:jc w:val="both"/>
        <w:ind w:firstLine="473"/>
        <w:spacing w:after="0" w:line="246" w:lineRule="auto"/>
        <w:rPr>
          <w:sz w:val="20"/>
          <w:szCs w:val="20"/>
          <w:color w:val="auto"/>
        </w:rPr>
      </w:pPr>
      <w:r>
        <w:rPr>
          <w:rFonts w:ascii="Times New Roman" w:cs="Times New Roman" w:eastAsia="Times New Roman" w:hAnsi="Times New Roman"/>
          <w:sz w:val="18"/>
          <w:szCs w:val="18"/>
          <w:color w:val="auto"/>
        </w:rPr>
        <w:t>We also determined that the sustained decrease in stock price and shortfall in market capitalization indicated that the carrying amounts of our asset groups (MBB and Media) may not be recoverable. We therefore performed impairment tests on the long-lived assets in each asset group, including definite-lived intangible assets using an undiscounted cash flow analysis over the estimated remaining useful life of the primary asset, to determine whether the carrying amounts of each asset group are recoverable. As of September 30, 2023, our analysis indicated that the carrying amount of the MBB asset group is recoverable, and therefore no fair value estimate was required. The Media asset group failed the undiscounted cash flow recoverability test and therefore we estimated the fair value of the asset group to determine whether any asset impairment was present. Our estimation of the fair value of the long-lived assets included the use of discounted cash flow and cost analyses, reflecting estimates of future revenues, cost factors, cash flows, discount rates, and obsolescence. Based on these analyses, we concluded that the fair values of certain assets were lower than their carrying amounts. As of September 30, 2023, we recognized long-lived asset impairment charges totaling $0.4 million and $0.3 million for the KVH Media Group’s internally developed software assets and acquired subscriber relationships, respectively, reducing the carrying amounts to zero.</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Note 8 of our accompanying financial statements for further discussion.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2"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Our primary liquidity needs have been to fund general business requirements, including working capital requirements and capital expenditures. In recent years, we have funded our operations primarily from the sale of two businesses in 2022, the sale of a business in 2019, a PPP loan that was subsequently forgiven, cash flows from operations and proceeds received from exercises of stock options and the issuance of stock.</w:t>
      </w:r>
    </w:p>
    <w:p>
      <w:pPr>
        <w:spacing w:after="0" w:line="1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On August 9, 2022, we sold our inertial navigation business to EMCORE Corporation for net proceeds of $54.9 million, less specified deductions.</w:t>
      </w:r>
    </w:p>
    <w:p>
      <w:pPr>
        <w:spacing w:after="0" w:line="240" w:lineRule="exact"/>
        <w:rPr>
          <w:sz w:val="20"/>
          <w:szCs w:val="20"/>
          <w:color w:val="auto"/>
        </w:rPr>
      </w:pPr>
    </w:p>
    <w:p>
      <w:pPr>
        <w:jc w:val="both"/>
        <w:ind w:firstLine="473"/>
        <w:spacing w:after="0" w:line="247" w:lineRule="auto"/>
        <w:rPr>
          <w:sz w:val="20"/>
          <w:szCs w:val="20"/>
          <w:color w:val="auto"/>
        </w:rPr>
      </w:pPr>
      <w:r>
        <w:rPr>
          <w:rFonts w:ascii="Times New Roman" w:cs="Times New Roman" w:eastAsia="Times New Roman" w:hAnsi="Times New Roman"/>
          <w:sz w:val="18"/>
          <w:szCs w:val="18"/>
          <w:color w:val="auto"/>
        </w:rPr>
        <w:t>Based upon our current working capital position, current operating plans and expected business conditions, we expect to have sufficient funds, through at least twelve months from the date that this report is filed with the SEC, to fund our short-term and long-term working capital requirements, including capital expenditures and contractual obligations. Our funding plans for our working capital needs and other commitments may be adversely impacted if our underlying assumptions regarding our anticipated revenues and expenses are not realized. If our operating results fail to meet our expectations, we could be required to seek additional funding through public or private financings or other arrangements. In that event, adequate funds may not be available when needed or may be available only on terms which could have a negative impact on our business and results of operations. In addition, if we raise funds by issuing equity securities, our stockholders may experience dilution.</w:t>
      </w:r>
    </w:p>
    <w:p>
      <w:pPr>
        <w:spacing w:after="0" w:line="218"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We believe that our primary long-term capital requirements relate to AgilePlans revenue-generating assets, as well as servicing and repaying our satellite service capacity and equipment lease obligations. At December 31, 2023, we had outstanding non-cancellable satellite service capacity and other lease obligations with future minimum payments of $82.5 million.</w:t>
      </w:r>
    </w:p>
    <w:p>
      <w:pPr>
        <w:spacing w:after="0" w:line="205"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As of December 31, 2023, we had $69.8 million in cash, cash equivalents, and marketable securities, of which $3.7 million in cash equivalents was held in local currencies by our foreign subsidiaries. Our foreign subsidiaries held no marketable securities as of December 31, 2023. As of December 31, 2023, we had $93.8 million in working capital.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44" w:lineRule="exact"/>
        <w:rPr>
          <w:sz w:val="20"/>
          <w:szCs w:val="20"/>
          <w:color w:val="auto"/>
        </w:rPr>
      </w:pPr>
    </w:p>
    <w:p>
      <w:pPr>
        <w:jc w:val="both"/>
        <w:ind w:firstLine="473"/>
        <w:spacing w:after="0" w:line="285" w:lineRule="auto"/>
        <w:rPr>
          <w:sz w:val="20"/>
          <w:szCs w:val="20"/>
          <w:color w:val="auto"/>
        </w:rPr>
      </w:pPr>
      <w:r>
        <w:rPr>
          <w:rFonts w:ascii="Times New Roman" w:cs="Times New Roman" w:eastAsia="Times New Roman" w:hAnsi="Times New Roman"/>
          <w:sz w:val="16"/>
          <w:szCs w:val="16"/>
          <w:color w:val="auto"/>
        </w:rPr>
        <w:t>Operating activities provided $2.5 million of net cash in 2023 and provided $8.9 million of net cash in 2022, a decrease in net cash provided by operating activities of $6.4 million. The $6.4 million decrease in net cash provided by operations was primarily the result of a $39.5 million increase in net loss and a $27.0 million increase in cash outflows related to accounts payable. Partially offsetting these items were a change of $37.9 million related to non-cash items, driven by the $30.8 million gain on sale of the inertial navigation business in 2022 and the $6.0 million impairment of goodwill and long-lived assets, a $12.2 million decrease in cash outflows relating to inventories, a $8.4 million decrease in cash outflows relating to accrued compensation, product warranty and other expenses, a $1.2 million increase in cash inflows relating to accounts receivable, and a $0.8 million increase in cash inflows related to deferred revenue.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44"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Net cash used in investing activities for 2023 was $14.7 million as compared to net cash provided by investing activities of $0.4 million for 2022. The $15.1 million increase in net cash used in investing activities was primarily the result of a $55.0 million decrease in proceeds from the sale of the inertial navigation business, a decrease of $2.4 million in proceeds from the sale of KVH Media Group Entertainment Limited and a $1.2 million increase in cash paid for acquisition of intangible assets, partially offset by a $39.8 million decrease in net investment in marketable securities and a $3.8 million decrease in capital expenditures.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44"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Net cash provided by financing activities for 2023 was $2.3 million as compared to net cash provided by financing activities in 2022 of $0.7 million. The $1.6 million increase in net cash provided by financing activities is primarily attributable to a $1.6 million increase in cash inflows relating to proceeds from the exercise of stock options and purchases under our employee stock purchase plan and a $0.2 million decrease in cash outflows related to the payment of finance leases, partially offset by a $0.2 million increase in cash outflows related to the repurchase of common stock to satisfy specific tax withholding obligations arising from accelerated vesting of executive stock grants.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244" w:lineRule="exact"/>
        <w:rPr>
          <w:sz w:val="20"/>
          <w:szCs w:val="20"/>
          <w:color w:val="auto"/>
        </w:rPr>
      </w:pPr>
    </w:p>
    <w:p>
      <w:pPr>
        <w:jc w:val="both"/>
        <w:ind w:firstLine="473"/>
        <w:spacing w:after="0" w:line="331" w:lineRule="auto"/>
        <w:rPr>
          <w:sz w:val="20"/>
          <w:szCs w:val="20"/>
          <w:color w:val="auto"/>
        </w:rPr>
      </w:pPr>
      <w:r>
        <w:rPr>
          <w:rFonts w:ascii="Times New Roman" w:cs="Times New Roman" w:eastAsia="Times New Roman" w:hAnsi="Times New Roman"/>
          <w:sz w:val="16"/>
          <w:szCs w:val="16"/>
          <w:color w:val="auto"/>
        </w:rPr>
        <w:t>We intend to continue to invest in our global HTS network on a worldwide basis. From time to time we have entered into multi-year agreements to lease satellite capacity, and we have also purchased numerous satellite hubs to support the added capacity. These transactions can involve millions of dollars.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42"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As of December 31, 2023, we had certain satellite service capacity obligations that are not considered operating or financing leases under ASC 842. As of that date, we did not have any off-balance sheet arrangements that have or are reasonably likely to have a material current or future effect on our financial condition, changes in financial condition, revenues, expenses, results of operations, liquidity, cash requirements or capital resources. Please see Note 5 to our accompanying audited consolidated financial statements for additional information on our satellite service capacity obligations.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42"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See Note 1 of our accompanying audited consolidated financial statements for a description of recently issued accounting pronouncements including the dates of adoption and effects on our results of operations, financial position and disclosures.</w:t>
      </w:r>
    </w:p>
    <w:p>
      <w:pPr>
        <w:spacing w:after="0" w:line="232"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6"/>
          <w:szCs w:val="16"/>
          <w:b w:val="1"/>
          <w:bCs w:val="1"/>
          <w:color w:val="auto"/>
        </w:rPr>
        <w:t>Quantitative and Qualitative Disclosure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107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3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7"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107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314"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together with the report of Grant Thornton LLP thereon, our independent registered public accounting firm, are presented after the signature page to this annual report. The report of Grant Thornton LLP on our internal control over financial reporting is included in Item 9A of this annual report.</w:t>
      </w:r>
    </w:p>
    <w:p>
      <w:pPr>
        <w:spacing w:after="0" w:line="243"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Changes in and Disagreements with Accountants on Accounting and Financial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107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3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77"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107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42"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or the Exchange Act, which are designed to ensure that information required to be disclosed in the reports that we file or submit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w:t>
      </w:r>
    </w:p>
    <w:p>
      <w:pPr>
        <w:spacing w:after="0" w:line="214" w:lineRule="exact"/>
        <w:rPr>
          <w:sz w:val="20"/>
          <w:szCs w:val="20"/>
          <w:color w:val="auto"/>
        </w:rPr>
      </w:pPr>
    </w:p>
    <w:p>
      <w:pPr>
        <w:jc w:val="both"/>
        <w:ind w:firstLine="473"/>
        <w:spacing w:after="0" w:line="303" w:lineRule="auto"/>
        <w:rPr>
          <w:sz w:val="20"/>
          <w:szCs w:val="20"/>
          <w:color w:val="auto"/>
        </w:rPr>
      </w:pPr>
      <w:r>
        <w:rPr>
          <w:rFonts w:ascii="Times New Roman" w:cs="Times New Roman" w:eastAsia="Times New Roman" w:hAnsi="Times New Roman"/>
          <w:sz w:val="16"/>
          <w:szCs w:val="16"/>
          <w:color w:val="auto"/>
        </w:rPr>
        <w:t>Under the supervision and with the participation of our Chief Executive Officer and Chief Financial Officer, our management has evaluated the effectiveness of our disclosure controls and procedures as of December 31, 2023, the end of the period covered by this annual report. Based on that evaluation, our Chief Executive Officer and Chief Financial Officer concluded that our disclosure controls and procedures were effective as of December 31, 2023.</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42"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Our internal control over financial reporting is the process designed by and under the supervision of our Chief Executive Officer and Chief Financial Officer to provide reasonable assurance regarding the reliability of our financial reporting and the preparation of our financial statements for external reporting in accordance with accounting principles generally accepted in the United States of America. Management has evaluated the effectiveness of our internal control over financial reporting using the criteria</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by the Committee of Sponsoring Organizations of the Treadway Commission (COSO) in Internal Control-Integrated Framework (2013).</w:t>
      </w:r>
    </w:p>
    <w:p>
      <w:pPr>
        <w:spacing w:after="0" w:line="240"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Under the supervision and with the participation of our Chief Executive Officer and Chief Financial Officer, our management has assessed the effectiveness of our internal control over financial reporting as of December 31, 2023 and concluded that it was effective.</w:t>
      </w:r>
    </w:p>
    <w:p>
      <w:pPr>
        <w:spacing w:after="0" w:line="195"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Our independent registered public accounting firm, Grant Thornton LLP, has issued a report regarding the effectiveness of our internal control over financial reporting as of December 31, 2023, and that report is included in Item 9A in this annual report.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Changes in Internal Control over Financial Reporting</w:t>
      </w:r>
    </w:p>
    <w:p>
      <w:pPr>
        <w:spacing w:after="0" w:line="242"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Under the supervision and with the participation of our Chief Executive Officer and Chief Financial Officer, our management has evaluated changes in our internal control over financial reporting that occurred during the fourth quarter of 2023. Based on that evaluation, our Chief Executive Officer and Chief Financial Officer did not identify any change in our internal control over financial reporting that has materially affected, or is reasonably likely to materially affect, our internal control over financial reporting.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Considerations</w:t>
      </w:r>
    </w:p>
    <w:p>
      <w:pPr>
        <w:spacing w:after="0" w:line="242" w:lineRule="exact"/>
        <w:rPr>
          <w:sz w:val="20"/>
          <w:szCs w:val="20"/>
          <w:color w:val="auto"/>
        </w:rPr>
      </w:pPr>
    </w:p>
    <w:p>
      <w:pPr>
        <w:jc w:val="both"/>
        <w:ind w:firstLine="473"/>
        <w:spacing w:after="0" w:line="285" w:lineRule="auto"/>
        <w:rPr>
          <w:sz w:val="20"/>
          <w:szCs w:val="20"/>
          <w:color w:val="auto"/>
        </w:rPr>
      </w:pPr>
      <w:r>
        <w:rPr>
          <w:rFonts w:ascii="Times New Roman" w:cs="Times New Roman" w:eastAsia="Times New Roman" w:hAnsi="Times New Roman"/>
          <w:sz w:val="16"/>
          <w:szCs w:val="16"/>
          <w:color w:val="auto"/>
        </w:rPr>
        <w:t>The effectiveness of our disclosure controls and procedures and our internal control over financial reporting is subject to various inherent limitations, including cost limitations, judgments used in decision making, assumptions about the likelihood of future events, the soundness of our systems, the possibility of human error, and the risk of fraud. Moreover, projections of any evaluation of effectiveness to future periods are subject to the risk that controls may become inadequate because of changes in conditions and the risk that the degree of compliance with policies or procedures may deteriorate over time. Because of these limitations, there can be no assurance that any system of disclosure controls and procedures or internal control over financial reporting will be successful in preventing all errors or fraud or in making all material information known in a timely manner to the appropriate levels of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Report of Independent Registered Public Accounting Firm</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rPr>
          <w:sz w:val="20"/>
          <w:szCs w:val="20"/>
          <w:color w:val="auto"/>
        </w:rPr>
      </w:pPr>
      <w:r>
        <w:rPr>
          <w:rFonts w:ascii="Times New Roman" w:cs="Times New Roman" w:eastAsia="Times New Roman" w:hAnsi="Times New Roman"/>
          <w:sz w:val="18"/>
          <w:szCs w:val="18"/>
          <w:color w:val="auto"/>
        </w:rPr>
        <w:t>KVH Industries, Inc.</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KVH Industries, Inc. (a Delaware corporation) and subsidiaries (the “Company”) as of December 31, 2023,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2023,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COSO.</w:t>
      </w:r>
    </w:p>
    <w:p>
      <w:pPr>
        <w:spacing w:after="0" w:line="2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financial statements of the Company as of and for the year ended December 31, 2023, and our report dated March 15, 2024 expressed an unqualified opinion on those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4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0"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Hartford, Connecticut</w:t>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15, 2024</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107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288" w:lineRule="exact"/>
        <w:rPr>
          <w:sz w:val="20"/>
          <w:szCs w:val="20"/>
          <w:color w:val="auto"/>
        </w:rPr>
      </w:pPr>
    </w:p>
    <w:p>
      <w:pPr>
        <w:ind w:right="60" w:firstLine="473"/>
        <w:spacing w:after="0" w:line="285" w:lineRule="auto"/>
        <w:rPr>
          <w:sz w:val="20"/>
          <w:szCs w:val="20"/>
          <w:color w:val="auto"/>
        </w:rPr>
      </w:pPr>
      <w:r>
        <w:rPr>
          <w:rFonts w:ascii="Times New Roman" w:cs="Times New Roman" w:eastAsia="Times New Roman" w:hAnsi="Times New Roman"/>
          <w:sz w:val="16"/>
          <w:szCs w:val="16"/>
          <w:color w:val="auto"/>
        </w:rPr>
        <w:t>During the fourth quarter of 2023, no director or officer (as defined in Rule 16a-1(f) under the Securities Exchange Act of 1934, as amended) adopted or terminated any Rule 10b5-1 trading arrangement or non-Rule 10b5-1 trading arrangement (as those terms are defined in Item 408(a)(1) of Regulation S-K), including any amendment or modification of the amount, price, or timing of the purchase or sale of securities under such an existing trading arrangement.</w:t>
      </w:r>
    </w:p>
    <w:p>
      <w:pPr>
        <w:spacing w:after="0" w:line="210"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6"/>
          <w:szCs w:val="16"/>
          <w:b w:val="1"/>
          <w:bCs w:val="1"/>
          <w:color w:val="auto"/>
        </w:rPr>
        <w:t>Disclosure Regarding Foreign Jurisdictions that Prevent Inspections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71107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3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PART III</w:t>
      </w:r>
    </w:p>
    <w:p>
      <w:pPr>
        <w:spacing w:after="0" w:line="247"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We have omitted the information required in Part III of this annual report because we intend to include that information in our definitive proxy statement for our 2024 annual meeting of stockholders, which we expect to file before 120 days after the end of fiscal 2023. We incorporate the information required in Part III of this annual report by reference to our 2024 proxy statement.</w:t>
      </w:r>
    </w:p>
    <w:p>
      <w:pPr>
        <w:spacing w:after="0" w:line="243"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6"/>
          <w:szCs w:val="16"/>
          <w:b w:val="1"/>
          <w:bCs w:val="1"/>
          <w:color w:val="auto"/>
        </w:rPr>
        <w:t>Directors, Executive Officers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107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3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Except as set forth below, the information required by this item is incorporated by reference to our 2024 proxy statement.</w:t>
      </w:r>
    </w:p>
    <w:p>
      <w:pPr>
        <w:spacing w:after="0" w:line="240"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that applies to our directors, executive officers and employees. Our Code of Business Conduct and Ethics can be found on our website, which is located at www.kvh.com. We intend to make all required disclosures concerning any amendments to or waivers from, our Code of Business Conduct and Ethics on our website. Any person may request a copy of the Code of Business Conduct and Ethics, at no cost, by writing to us at the following address: KVH Industries, Inc., 50 Enterprise Center, Middletown, Rhode Island, 02842, Attention: Investor Relations.</w:t>
      </w:r>
    </w:p>
    <w:p>
      <w:pPr>
        <w:spacing w:after="0" w:line="200" w:lineRule="exact"/>
        <w:rPr>
          <w:sz w:val="20"/>
          <w:szCs w:val="20"/>
          <w:color w:val="auto"/>
        </w:rPr>
      </w:pPr>
    </w:p>
    <w:p>
      <w:pPr>
        <w:spacing w:after="0" w:line="209"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6"/>
          <w:szCs w:val="16"/>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107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3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2024 proxy statement.</w:t>
      </w:r>
    </w:p>
    <w:p>
      <w:pPr>
        <w:spacing w:after="0" w:line="277"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6"/>
          <w:szCs w:val="16"/>
          <w:b w:val="1"/>
          <w:bCs w:val="1"/>
          <w:color w:val="auto"/>
        </w:rPr>
        <w:t>Security Ownership of Certain Beneficial Owners and Management and Related Stockholder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107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3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2024 proxy statement.</w:t>
      </w:r>
    </w:p>
    <w:p>
      <w:pPr>
        <w:spacing w:after="0" w:line="277"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6"/>
          <w:szCs w:val="16"/>
          <w:b w:val="1"/>
          <w:bCs w:val="1"/>
          <w:color w:val="auto"/>
        </w:rPr>
        <w:t>Certain Relationships and Related Transactions and 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107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3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2024 proxy statement.</w:t>
      </w:r>
    </w:p>
    <w:p>
      <w:pPr>
        <w:spacing w:after="0" w:line="277"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Principal Accountant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107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3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2024 proxy statement.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PART IV</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ITEM 15.</w:t>
            </w:r>
          </w:p>
        </w:tc>
        <w:tc>
          <w:tcPr>
            <w:tcW w:w="9140" w:type="dxa"/>
            <w:vAlign w:val="bottom"/>
            <w:tcBorders>
              <w:bottom w:val="single" w:sz="8" w:color="auto"/>
            </w:tcBorders>
            <w:gridSpan w:val="8"/>
          </w:tcPr>
          <w:p>
            <w:pPr>
              <w:ind w:left="240"/>
              <w:spacing w:after="0"/>
              <w:rPr>
                <w:sz w:val="20"/>
                <w:szCs w:val="20"/>
                <w:color w:val="auto"/>
              </w:rPr>
            </w:pPr>
            <w:r>
              <w:rPr>
                <w:rFonts w:ascii="Times New Roman" w:cs="Times New Roman" w:eastAsia="Times New Roman" w:hAnsi="Times New Roman"/>
                <w:sz w:val="18"/>
                <w:szCs w:val="18"/>
                <w:b w:val="1"/>
                <w:bCs w:val="1"/>
                <w:color w:val="auto"/>
              </w:rPr>
              <w:t>Exhibits and Financial Statement Schedules</w:t>
            </w:r>
          </w:p>
        </w:tc>
        <w:tc>
          <w:tcPr>
            <w:tcW w:w="4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10120" w:type="dxa"/>
            <w:vAlign w:val="bottom"/>
            <w:gridSpan w:val="10"/>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(a)  1.   </w:t>
            </w:r>
            <w:r>
              <w:rPr>
                <w:rFonts w:ascii="Times New Roman" w:cs="Times New Roman" w:eastAsia="Times New Roman" w:hAnsi="Times New Roman"/>
                <w:sz w:val="18"/>
                <w:szCs w:val="18"/>
                <w:color w:val="0E32E1"/>
              </w:rPr>
              <w:t>Financial Statements</w:t>
            </w: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0120" w:type="dxa"/>
            <w:vAlign w:val="bottom"/>
            <w:gridSpan w:val="10"/>
            <w:vMerge w:val="continue"/>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60" w:type="dxa"/>
            <w:vAlign w:val="bottom"/>
            <w:gridSpan w:val="2"/>
            <w:shd w:val="clear" w:color="auto" w:fill="0E32E1"/>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740" w:type="dxa"/>
            <w:vAlign w:val="bottom"/>
          </w:tcPr>
          <w:p>
            <w:pPr>
              <w:spacing w:after="0"/>
              <w:rPr>
                <w:sz w:val="22"/>
                <w:szCs w:val="22"/>
                <w:color w:val="auto"/>
              </w:rPr>
            </w:pPr>
          </w:p>
        </w:tc>
        <w:tc>
          <w:tcPr>
            <w:tcW w:w="9380" w:type="dxa"/>
            <w:vAlign w:val="bottom"/>
            <w:gridSpan w:val="9"/>
          </w:tcPr>
          <w:p>
            <w:pPr>
              <w:spacing w:after="0"/>
              <w:rPr>
                <w:sz w:val="20"/>
                <w:szCs w:val="20"/>
                <w:color w:val="auto"/>
              </w:rPr>
            </w:pPr>
            <w:r>
              <w:rPr>
                <w:rFonts w:ascii="Times New Roman" w:cs="Times New Roman" w:eastAsia="Times New Roman" w:hAnsi="Times New Roman"/>
                <w:sz w:val="18"/>
                <w:szCs w:val="18"/>
                <w:color w:val="0E32E1"/>
              </w:rPr>
              <w:t>Report of Independent Registered Public Accounting Firm (PCAOB ID Number 248)</w:t>
            </w:r>
          </w:p>
        </w:tc>
        <w:tc>
          <w:tcPr>
            <w:tcW w:w="640" w:type="dxa"/>
            <w:vAlign w:val="bottom"/>
            <w:gridSpan w:val="2"/>
          </w:tcPr>
          <w:p>
            <w:pPr>
              <w:jc w:val="center"/>
              <w:ind w:left="375"/>
              <w:spacing w:after="0"/>
              <w:rPr>
                <w:sz w:val="20"/>
                <w:szCs w:val="20"/>
                <w:color w:val="auto"/>
              </w:rPr>
            </w:pPr>
            <w:r>
              <w:rPr>
                <w:rFonts w:ascii="Times New Roman" w:cs="Times New Roman" w:eastAsia="Times New Roman" w:hAnsi="Times New Roman"/>
                <w:sz w:val="18"/>
                <w:szCs w:val="18"/>
                <w:color w:val="0000FF"/>
                <w:w w:val="99"/>
              </w:rPr>
              <w:t>41</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1220" w:type="dxa"/>
            <w:vAlign w:val="bottom"/>
            <w:shd w:val="clear" w:color="auto" w:fill="0E32E1"/>
          </w:tcPr>
          <w:p>
            <w:pPr>
              <w:spacing w:after="0" w:line="20" w:lineRule="exact"/>
              <w:rPr>
                <w:sz w:val="1"/>
                <w:szCs w:val="1"/>
                <w:color w:val="auto"/>
              </w:rPr>
            </w:pPr>
          </w:p>
        </w:tc>
        <w:tc>
          <w:tcPr>
            <w:tcW w:w="1620" w:type="dxa"/>
            <w:vAlign w:val="bottom"/>
            <w:shd w:val="clear" w:color="auto" w:fill="0E32E1"/>
          </w:tcPr>
          <w:p>
            <w:pPr>
              <w:spacing w:after="0" w:line="20" w:lineRule="exact"/>
              <w:rPr>
                <w:sz w:val="1"/>
                <w:szCs w:val="1"/>
                <w:color w:val="auto"/>
              </w:rPr>
            </w:pPr>
          </w:p>
        </w:tc>
        <w:tc>
          <w:tcPr>
            <w:tcW w:w="1440" w:type="dxa"/>
            <w:vAlign w:val="bottom"/>
            <w:shd w:val="clear" w:color="auto" w:fill="0E32E1"/>
          </w:tcPr>
          <w:p>
            <w:pPr>
              <w:spacing w:after="0" w:line="20" w:lineRule="exact"/>
              <w:rPr>
                <w:sz w:val="1"/>
                <w:szCs w:val="1"/>
                <w:color w:val="auto"/>
              </w:rPr>
            </w:pPr>
          </w:p>
        </w:tc>
        <w:tc>
          <w:tcPr>
            <w:tcW w:w="1480" w:type="dxa"/>
            <w:vAlign w:val="bottom"/>
            <w:shd w:val="clear" w:color="auto" w:fill="0E32E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740" w:type="dxa"/>
            <w:vAlign w:val="bottom"/>
          </w:tcPr>
          <w:p>
            <w:pPr>
              <w:spacing w:after="0"/>
              <w:rPr>
                <w:sz w:val="22"/>
                <w:szCs w:val="22"/>
                <w:color w:val="auto"/>
              </w:rPr>
            </w:pPr>
          </w:p>
        </w:tc>
        <w:tc>
          <w:tcPr>
            <w:tcW w:w="6000" w:type="dxa"/>
            <w:vAlign w:val="bottom"/>
            <w:gridSpan w:val="5"/>
          </w:tcPr>
          <w:p>
            <w:pPr>
              <w:spacing w:after="0"/>
              <w:rPr>
                <w:sz w:val="20"/>
                <w:szCs w:val="20"/>
                <w:color w:val="auto"/>
              </w:rPr>
            </w:pPr>
            <w:r>
              <w:rPr>
                <w:rFonts w:ascii="Times New Roman" w:cs="Times New Roman" w:eastAsia="Times New Roman" w:hAnsi="Times New Roman"/>
                <w:sz w:val="18"/>
                <w:szCs w:val="18"/>
                <w:color w:val="0E32E1"/>
              </w:rPr>
              <w:t>Consolidated Balance Sheets as of December 31, 2023 and 2022</w:t>
            </w:r>
          </w:p>
        </w:tc>
        <w:tc>
          <w:tcPr>
            <w:tcW w:w="3380" w:type="dxa"/>
            <w:vAlign w:val="bottom"/>
            <w:gridSpan w:val="4"/>
          </w:tcPr>
          <w:p>
            <w:pPr>
              <w:spacing w:after="0"/>
              <w:rPr>
                <w:sz w:val="22"/>
                <w:szCs w:val="22"/>
                <w:color w:val="auto"/>
              </w:rPr>
            </w:pPr>
          </w:p>
        </w:tc>
        <w:tc>
          <w:tcPr>
            <w:tcW w:w="640" w:type="dxa"/>
            <w:vAlign w:val="bottom"/>
            <w:gridSpan w:val="2"/>
          </w:tcPr>
          <w:p>
            <w:pPr>
              <w:jc w:val="center"/>
              <w:ind w:left="375"/>
              <w:spacing w:after="0"/>
              <w:rPr>
                <w:sz w:val="20"/>
                <w:szCs w:val="20"/>
                <w:color w:val="auto"/>
              </w:rPr>
            </w:pPr>
            <w:r>
              <w:rPr>
                <w:rFonts w:ascii="Times New Roman" w:cs="Times New Roman" w:eastAsia="Times New Roman" w:hAnsi="Times New Roman"/>
                <w:sz w:val="18"/>
                <w:szCs w:val="18"/>
                <w:color w:val="0000FF"/>
                <w:w w:val="99"/>
              </w:rPr>
              <w:t>43</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080" w:type="dxa"/>
            <w:vAlign w:val="bottom"/>
            <w:gridSpan w:val="3"/>
            <w:shd w:val="clear" w:color="auto" w:fill="0E32E1"/>
          </w:tcPr>
          <w:p>
            <w:pPr>
              <w:spacing w:after="0" w:line="20" w:lineRule="exact"/>
              <w:rPr>
                <w:sz w:val="1"/>
                <w:szCs w:val="1"/>
                <w:color w:val="auto"/>
              </w:rPr>
            </w:pPr>
          </w:p>
        </w:tc>
        <w:tc>
          <w:tcPr>
            <w:tcW w:w="1440" w:type="dxa"/>
            <w:vAlign w:val="bottom"/>
            <w:shd w:val="clear" w:color="auto" w:fill="0E32E1"/>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740" w:type="dxa"/>
            <w:vAlign w:val="bottom"/>
          </w:tcPr>
          <w:p>
            <w:pPr>
              <w:spacing w:after="0"/>
              <w:rPr>
                <w:sz w:val="22"/>
                <w:szCs w:val="22"/>
                <w:color w:val="auto"/>
              </w:rPr>
            </w:pPr>
          </w:p>
        </w:tc>
        <w:tc>
          <w:tcPr>
            <w:tcW w:w="6240" w:type="dxa"/>
            <w:vAlign w:val="bottom"/>
            <w:gridSpan w:val="6"/>
          </w:tcPr>
          <w:p>
            <w:pPr>
              <w:spacing w:after="0"/>
              <w:rPr>
                <w:sz w:val="20"/>
                <w:szCs w:val="20"/>
                <w:color w:val="auto"/>
              </w:rPr>
            </w:pPr>
            <w:r>
              <w:rPr>
                <w:rFonts w:ascii="Times New Roman" w:cs="Times New Roman" w:eastAsia="Times New Roman" w:hAnsi="Times New Roman"/>
                <w:sz w:val="18"/>
                <w:szCs w:val="18"/>
                <w:color w:val="0E32E1"/>
                <w:w w:val="96"/>
              </w:rPr>
              <w:t>Consolidated Statements of Operations for the years ended December 31, 2023 and 2022</w:t>
            </w:r>
          </w:p>
        </w:tc>
        <w:tc>
          <w:tcPr>
            <w:tcW w:w="3140" w:type="dxa"/>
            <w:vAlign w:val="bottom"/>
            <w:gridSpan w:val="3"/>
          </w:tcPr>
          <w:p>
            <w:pPr>
              <w:spacing w:after="0"/>
              <w:rPr>
                <w:sz w:val="22"/>
                <w:szCs w:val="22"/>
                <w:color w:val="auto"/>
              </w:rPr>
            </w:pPr>
          </w:p>
        </w:tc>
        <w:tc>
          <w:tcPr>
            <w:tcW w:w="640" w:type="dxa"/>
            <w:vAlign w:val="bottom"/>
            <w:gridSpan w:val="2"/>
          </w:tcPr>
          <w:p>
            <w:pPr>
              <w:jc w:val="center"/>
              <w:ind w:left="375"/>
              <w:spacing w:after="0"/>
              <w:rPr>
                <w:sz w:val="20"/>
                <w:szCs w:val="20"/>
                <w:color w:val="auto"/>
              </w:rPr>
            </w:pPr>
            <w:r>
              <w:rPr>
                <w:rFonts w:ascii="Times New Roman" w:cs="Times New Roman" w:eastAsia="Times New Roman" w:hAnsi="Times New Roman"/>
                <w:sz w:val="18"/>
                <w:szCs w:val="18"/>
                <w:color w:val="0000FF"/>
                <w:w w:val="99"/>
              </w:rPr>
              <w:t>44</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1220" w:type="dxa"/>
            <w:vAlign w:val="bottom"/>
            <w:shd w:val="clear" w:color="auto" w:fill="0E32E1"/>
          </w:tcPr>
          <w:p>
            <w:pPr>
              <w:spacing w:after="0" w:line="20" w:lineRule="exact"/>
              <w:rPr>
                <w:sz w:val="1"/>
                <w:szCs w:val="1"/>
                <w:color w:val="auto"/>
              </w:rPr>
            </w:pPr>
          </w:p>
        </w:tc>
        <w:tc>
          <w:tcPr>
            <w:tcW w:w="1620" w:type="dxa"/>
            <w:vAlign w:val="bottom"/>
            <w:shd w:val="clear" w:color="auto" w:fill="0E32E1"/>
          </w:tcPr>
          <w:p>
            <w:pPr>
              <w:spacing w:after="0" w:line="20" w:lineRule="exact"/>
              <w:rPr>
                <w:sz w:val="1"/>
                <w:szCs w:val="1"/>
                <w:color w:val="auto"/>
              </w:rPr>
            </w:pPr>
          </w:p>
        </w:tc>
        <w:tc>
          <w:tcPr>
            <w:tcW w:w="1440" w:type="dxa"/>
            <w:vAlign w:val="bottom"/>
            <w:shd w:val="clear" w:color="auto" w:fill="0E32E1"/>
          </w:tcPr>
          <w:p>
            <w:pPr>
              <w:spacing w:after="0" w:line="20" w:lineRule="exact"/>
              <w:rPr>
                <w:sz w:val="1"/>
                <w:szCs w:val="1"/>
                <w:color w:val="auto"/>
              </w:rPr>
            </w:pPr>
          </w:p>
        </w:tc>
        <w:tc>
          <w:tcPr>
            <w:tcW w:w="148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740" w:type="dxa"/>
            <w:vAlign w:val="bottom"/>
          </w:tcPr>
          <w:p>
            <w:pPr>
              <w:spacing w:after="0"/>
              <w:rPr>
                <w:sz w:val="22"/>
                <w:szCs w:val="22"/>
                <w:color w:val="auto"/>
              </w:rPr>
            </w:pPr>
          </w:p>
        </w:tc>
        <w:tc>
          <w:tcPr>
            <w:tcW w:w="9380" w:type="dxa"/>
            <w:vAlign w:val="bottom"/>
            <w:gridSpan w:val="9"/>
          </w:tcPr>
          <w:p>
            <w:pPr>
              <w:spacing w:after="0"/>
              <w:rPr>
                <w:sz w:val="20"/>
                <w:szCs w:val="20"/>
                <w:color w:val="auto"/>
              </w:rPr>
            </w:pPr>
            <w:r>
              <w:rPr>
                <w:rFonts w:ascii="Times New Roman" w:cs="Times New Roman" w:eastAsia="Times New Roman" w:hAnsi="Times New Roman"/>
                <w:sz w:val="18"/>
                <w:szCs w:val="18"/>
                <w:color w:val="0E32E1"/>
              </w:rPr>
              <w:t>Consolidated Statements of Comprehensive (Loss) Income for the years ended December 31, 2023 and 2022</w:t>
            </w:r>
          </w:p>
        </w:tc>
        <w:tc>
          <w:tcPr>
            <w:tcW w:w="640" w:type="dxa"/>
            <w:vAlign w:val="bottom"/>
            <w:gridSpan w:val="2"/>
          </w:tcPr>
          <w:p>
            <w:pPr>
              <w:jc w:val="center"/>
              <w:ind w:left="375"/>
              <w:spacing w:after="0"/>
              <w:rPr>
                <w:sz w:val="20"/>
                <w:szCs w:val="20"/>
                <w:color w:val="auto"/>
              </w:rPr>
            </w:pPr>
            <w:r>
              <w:rPr>
                <w:rFonts w:ascii="Times New Roman" w:cs="Times New Roman" w:eastAsia="Times New Roman" w:hAnsi="Times New Roman"/>
                <w:sz w:val="18"/>
                <w:szCs w:val="18"/>
                <w:color w:val="0000FF"/>
                <w:w w:val="99"/>
              </w:rPr>
              <w:t>45</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40" w:type="dxa"/>
            <w:vAlign w:val="bottom"/>
          </w:tcPr>
          <w:p>
            <w:pPr>
              <w:spacing w:after="0"/>
              <w:rPr>
                <w:sz w:val="22"/>
                <w:szCs w:val="22"/>
                <w:color w:val="auto"/>
              </w:rPr>
            </w:pPr>
          </w:p>
        </w:tc>
        <w:tc>
          <w:tcPr>
            <w:tcW w:w="6960" w:type="dxa"/>
            <w:vAlign w:val="bottom"/>
            <w:tcBorders>
              <w:top w:val="single" w:sz="8" w:color="0E32E1"/>
            </w:tcBorders>
            <w:gridSpan w:val="7"/>
          </w:tcPr>
          <w:p>
            <w:pPr>
              <w:spacing w:after="0"/>
              <w:rPr>
                <w:sz w:val="20"/>
                <w:szCs w:val="20"/>
                <w:color w:val="auto"/>
              </w:rPr>
            </w:pPr>
            <w:r>
              <w:rPr>
                <w:rFonts w:ascii="Times New Roman" w:cs="Times New Roman" w:eastAsia="Times New Roman" w:hAnsi="Times New Roman"/>
                <w:sz w:val="18"/>
                <w:szCs w:val="18"/>
                <w:color w:val="0E32E1"/>
                <w:w w:val="97"/>
              </w:rPr>
              <w:t>Consolidated Statements of Stockholders’ Equity for the years ended December 31, 2023 and 2022</w:t>
            </w:r>
          </w:p>
        </w:tc>
        <w:tc>
          <w:tcPr>
            <w:tcW w:w="660" w:type="dxa"/>
            <w:vAlign w:val="bottom"/>
            <w:tcBorders>
              <w:top w:val="single" w:sz="8" w:color="0E32E1"/>
            </w:tcBorders>
          </w:tcPr>
          <w:p>
            <w:pPr>
              <w:spacing w:after="0"/>
              <w:rPr>
                <w:sz w:val="22"/>
                <w:szCs w:val="22"/>
                <w:color w:val="auto"/>
              </w:rPr>
            </w:pPr>
          </w:p>
        </w:tc>
        <w:tc>
          <w:tcPr>
            <w:tcW w:w="1760" w:type="dxa"/>
            <w:vAlign w:val="bottom"/>
          </w:tcPr>
          <w:p>
            <w:pPr>
              <w:spacing w:after="0"/>
              <w:rPr>
                <w:sz w:val="22"/>
                <w:szCs w:val="22"/>
                <w:color w:val="auto"/>
              </w:rPr>
            </w:pPr>
          </w:p>
        </w:tc>
        <w:tc>
          <w:tcPr>
            <w:tcW w:w="640" w:type="dxa"/>
            <w:vAlign w:val="bottom"/>
            <w:gridSpan w:val="2"/>
          </w:tcPr>
          <w:p>
            <w:pPr>
              <w:jc w:val="center"/>
              <w:ind w:left="375"/>
              <w:spacing w:after="0"/>
              <w:rPr>
                <w:sz w:val="20"/>
                <w:szCs w:val="20"/>
                <w:color w:val="auto"/>
              </w:rPr>
            </w:pPr>
            <w:r>
              <w:rPr>
                <w:rFonts w:ascii="Times New Roman" w:cs="Times New Roman" w:eastAsia="Times New Roman" w:hAnsi="Times New Roman"/>
                <w:sz w:val="18"/>
                <w:szCs w:val="18"/>
                <w:color w:val="0000FF"/>
                <w:w w:val="99"/>
              </w:rPr>
              <w:t>46</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1220" w:type="dxa"/>
            <w:vAlign w:val="bottom"/>
            <w:shd w:val="clear" w:color="auto" w:fill="0E32E1"/>
          </w:tcPr>
          <w:p>
            <w:pPr>
              <w:spacing w:after="0" w:line="20" w:lineRule="exact"/>
              <w:rPr>
                <w:sz w:val="1"/>
                <w:szCs w:val="1"/>
                <w:color w:val="auto"/>
              </w:rPr>
            </w:pPr>
          </w:p>
        </w:tc>
        <w:tc>
          <w:tcPr>
            <w:tcW w:w="1620" w:type="dxa"/>
            <w:vAlign w:val="bottom"/>
            <w:shd w:val="clear" w:color="auto" w:fill="0E32E1"/>
          </w:tcPr>
          <w:p>
            <w:pPr>
              <w:spacing w:after="0" w:line="20" w:lineRule="exact"/>
              <w:rPr>
                <w:sz w:val="1"/>
                <w:szCs w:val="1"/>
                <w:color w:val="auto"/>
              </w:rPr>
            </w:pPr>
          </w:p>
        </w:tc>
        <w:tc>
          <w:tcPr>
            <w:tcW w:w="1440" w:type="dxa"/>
            <w:vAlign w:val="bottom"/>
            <w:shd w:val="clear" w:color="auto" w:fill="0E32E1"/>
          </w:tcPr>
          <w:p>
            <w:pPr>
              <w:spacing w:after="0" w:line="20" w:lineRule="exact"/>
              <w:rPr>
                <w:sz w:val="1"/>
                <w:szCs w:val="1"/>
                <w:color w:val="auto"/>
              </w:rPr>
            </w:pPr>
          </w:p>
        </w:tc>
        <w:tc>
          <w:tcPr>
            <w:tcW w:w="148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720" w:type="dxa"/>
            <w:vAlign w:val="bottom"/>
            <w:tcBorders>
              <w:left w:val="single" w:sz="8" w:color="0E32E1"/>
            </w:tcBorders>
            <w:shd w:val="clear" w:color="auto" w:fill="0E32E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740" w:type="dxa"/>
            <w:vAlign w:val="bottom"/>
          </w:tcPr>
          <w:p>
            <w:pPr>
              <w:spacing w:after="0"/>
              <w:rPr>
                <w:sz w:val="22"/>
                <w:szCs w:val="22"/>
                <w:color w:val="auto"/>
              </w:rPr>
            </w:pPr>
          </w:p>
        </w:tc>
        <w:tc>
          <w:tcPr>
            <w:tcW w:w="6240" w:type="dxa"/>
            <w:vAlign w:val="bottom"/>
            <w:gridSpan w:val="6"/>
          </w:tcPr>
          <w:p>
            <w:pPr>
              <w:spacing w:after="0"/>
              <w:rPr>
                <w:sz w:val="20"/>
                <w:szCs w:val="20"/>
                <w:color w:val="auto"/>
              </w:rPr>
            </w:pPr>
            <w:r>
              <w:rPr>
                <w:rFonts w:ascii="Times New Roman" w:cs="Times New Roman" w:eastAsia="Times New Roman" w:hAnsi="Times New Roman"/>
                <w:sz w:val="18"/>
                <w:szCs w:val="18"/>
                <w:color w:val="0E32E1"/>
                <w:w w:val="95"/>
              </w:rPr>
              <w:t>Consolidated Statements of Cash Flows for the years ended December 31, 2023 and 2022</w:t>
            </w:r>
          </w:p>
        </w:tc>
        <w:tc>
          <w:tcPr>
            <w:tcW w:w="720" w:type="dxa"/>
            <w:vAlign w:val="bottom"/>
          </w:tcPr>
          <w:p>
            <w:pPr>
              <w:spacing w:after="0"/>
              <w:rPr>
                <w:sz w:val="22"/>
                <w:szCs w:val="22"/>
                <w:color w:val="auto"/>
              </w:rPr>
            </w:pPr>
          </w:p>
        </w:tc>
        <w:tc>
          <w:tcPr>
            <w:tcW w:w="2420" w:type="dxa"/>
            <w:vAlign w:val="bottom"/>
            <w:gridSpan w:val="2"/>
          </w:tcPr>
          <w:p>
            <w:pPr>
              <w:spacing w:after="0"/>
              <w:rPr>
                <w:sz w:val="22"/>
                <w:szCs w:val="22"/>
                <w:color w:val="auto"/>
              </w:rPr>
            </w:pPr>
          </w:p>
        </w:tc>
        <w:tc>
          <w:tcPr>
            <w:tcW w:w="640" w:type="dxa"/>
            <w:vAlign w:val="bottom"/>
            <w:gridSpan w:val="2"/>
          </w:tcPr>
          <w:p>
            <w:pPr>
              <w:jc w:val="center"/>
              <w:ind w:left="375"/>
              <w:spacing w:after="0"/>
              <w:rPr>
                <w:sz w:val="20"/>
                <w:szCs w:val="20"/>
                <w:color w:val="auto"/>
              </w:rPr>
            </w:pPr>
            <w:r>
              <w:rPr>
                <w:rFonts w:ascii="Times New Roman" w:cs="Times New Roman" w:eastAsia="Times New Roman" w:hAnsi="Times New Roman"/>
                <w:sz w:val="18"/>
                <w:szCs w:val="18"/>
                <w:color w:val="0000FF"/>
                <w:w w:val="99"/>
              </w:rPr>
              <w:t>47</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1220" w:type="dxa"/>
            <w:vAlign w:val="bottom"/>
            <w:shd w:val="clear" w:color="auto" w:fill="0E32E1"/>
          </w:tcPr>
          <w:p>
            <w:pPr>
              <w:spacing w:after="0" w:line="20" w:lineRule="exact"/>
              <w:rPr>
                <w:sz w:val="1"/>
                <w:szCs w:val="1"/>
                <w:color w:val="auto"/>
              </w:rPr>
            </w:pPr>
          </w:p>
        </w:tc>
        <w:tc>
          <w:tcPr>
            <w:tcW w:w="1620" w:type="dxa"/>
            <w:vAlign w:val="bottom"/>
            <w:shd w:val="clear" w:color="auto" w:fill="0E32E1"/>
          </w:tcPr>
          <w:p>
            <w:pPr>
              <w:spacing w:after="0" w:line="20" w:lineRule="exact"/>
              <w:rPr>
                <w:sz w:val="1"/>
                <w:szCs w:val="1"/>
                <w:color w:val="auto"/>
              </w:rPr>
            </w:pPr>
          </w:p>
        </w:tc>
        <w:tc>
          <w:tcPr>
            <w:tcW w:w="1440" w:type="dxa"/>
            <w:vAlign w:val="bottom"/>
            <w:shd w:val="clear" w:color="auto" w:fill="0E32E1"/>
          </w:tcPr>
          <w:p>
            <w:pPr>
              <w:spacing w:after="0" w:line="20" w:lineRule="exact"/>
              <w:rPr>
                <w:sz w:val="1"/>
                <w:szCs w:val="1"/>
                <w:color w:val="auto"/>
              </w:rPr>
            </w:pPr>
          </w:p>
        </w:tc>
        <w:tc>
          <w:tcPr>
            <w:tcW w:w="148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720" w:type="dxa"/>
            <w:vAlign w:val="bottom"/>
            <w:tcBorders>
              <w:left w:val="single" w:sz="8" w:color="0E32E1"/>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740" w:type="dxa"/>
            <w:vAlign w:val="bottom"/>
          </w:tcPr>
          <w:p>
            <w:pPr>
              <w:spacing w:after="0"/>
              <w:rPr>
                <w:sz w:val="22"/>
                <w:szCs w:val="22"/>
                <w:color w:val="auto"/>
              </w:rPr>
            </w:pPr>
          </w:p>
        </w:tc>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0E32E1"/>
                <w:w w:val="97"/>
              </w:rPr>
              <w:t>Notes to Consolidated Financial Statements</w:t>
            </w:r>
          </w:p>
        </w:tc>
        <w:tc>
          <w:tcPr>
            <w:tcW w:w="3160" w:type="dxa"/>
            <w:vAlign w:val="bottom"/>
            <w:gridSpan w:val="3"/>
          </w:tcPr>
          <w:p>
            <w:pPr>
              <w:spacing w:after="0"/>
              <w:rPr>
                <w:sz w:val="22"/>
                <w:szCs w:val="22"/>
                <w:color w:val="auto"/>
              </w:rPr>
            </w:pPr>
          </w:p>
        </w:tc>
        <w:tc>
          <w:tcPr>
            <w:tcW w:w="3140" w:type="dxa"/>
            <w:vAlign w:val="bottom"/>
            <w:gridSpan w:val="3"/>
          </w:tcPr>
          <w:p>
            <w:pPr>
              <w:spacing w:after="0"/>
              <w:rPr>
                <w:sz w:val="22"/>
                <w:szCs w:val="22"/>
                <w:color w:val="auto"/>
              </w:rPr>
            </w:pPr>
          </w:p>
        </w:tc>
        <w:tc>
          <w:tcPr>
            <w:tcW w:w="640" w:type="dxa"/>
            <w:vAlign w:val="bottom"/>
            <w:gridSpan w:val="2"/>
          </w:tcPr>
          <w:p>
            <w:pPr>
              <w:jc w:val="center"/>
              <w:ind w:left="375"/>
              <w:spacing w:after="0"/>
              <w:rPr>
                <w:sz w:val="20"/>
                <w:szCs w:val="20"/>
                <w:color w:val="auto"/>
              </w:rPr>
            </w:pPr>
            <w:r>
              <w:rPr>
                <w:rFonts w:ascii="Times New Roman" w:cs="Times New Roman" w:eastAsia="Times New Roman" w:hAnsi="Times New Roman"/>
                <w:sz w:val="18"/>
                <w:szCs w:val="18"/>
                <w:color w:val="0000FF"/>
                <w:w w:val="99"/>
              </w:rPr>
              <w:t>48</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1220" w:type="dxa"/>
            <w:vAlign w:val="bottom"/>
            <w:shd w:val="clear" w:color="auto" w:fill="0E32E1"/>
          </w:tcPr>
          <w:p>
            <w:pPr>
              <w:spacing w:after="0" w:line="20" w:lineRule="exact"/>
              <w:rPr>
                <w:sz w:val="1"/>
                <w:szCs w:val="1"/>
                <w:color w:val="auto"/>
              </w:rPr>
            </w:pPr>
          </w:p>
        </w:tc>
        <w:tc>
          <w:tcPr>
            <w:tcW w:w="1620" w:type="dxa"/>
            <w:vAlign w:val="bottom"/>
            <w:shd w:val="clear" w:color="auto" w:fill="0E32E1"/>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740" w:right="8340" w:hanging="717"/>
        <w:spacing w:after="0" w:line="320" w:lineRule="auto"/>
        <w:tabs>
          <w:tab w:leader="none" w:pos="39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Financial Statement Schedules None.</w:t>
      </w:r>
    </w:p>
    <w:p>
      <w:pPr>
        <w:ind w:left="740" w:hanging="336"/>
        <w:spacing w:after="0"/>
        <w:tabs>
          <w:tab w:leader="none" w:pos="7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Filed with</w:t>
            </w:r>
          </w:p>
        </w:tc>
        <w:tc>
          <w:tcPr>
            <w:tcW w:w="1080" w:type="dxa"/>
            <w:vAlign w:val="bottom"/>
          </w:tcPr>
          <w:p>
            <w:pPr>
              <w:spacing w:after="0"/>
              <w:rPr>
                <w:sz w:val="13"/>
                <w:szCs w:val="13"/>
                <w:color w:val="auto"/>
              </w:rPr>
            </w:pPr>
          </w:p>
        </w:tc>
        <w:tc>
          <w:tcPr>
            <w:tcW w:w="16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Incorporated by Reference</w:t>
            </w: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jc w:val="center"/>
              <w:ind w:right="120"/>
              <w:spacing w:after="0" w:line="111" w:lineRule="exact"/>
              <w:rPr>
                <w:sz w:val="20"/>
                <w:szCs w:val="20"/>
                <w:color w:val="auto"/>
              </w:rPr>
            </w:pPr>
            <w:r>
              <w:rPr>
                <w:rFonts w:ascii="Times New Roman" w:cs="Times New Roman" w:eastAsia="Times New Roman" w:hAnsi="Times New Roman"/>
                <w:sz w:val="12"/>
                <w:szCs w:val="12"/>
                <w:b w:val="1"/>
                <w:bCs w:val="1"/>
                <w:color w:val="auto"/>
              </w:rPr>
              <w:t>this Form</w:t>
            </w:r>
          </w:p>
        </w:tc>
        <w:tc>
          <w:tcPr>
            <w:tcW w:w="1080" w:type="dxa"/>
            <w:vAlign w:val="bottom"/>
          </w:tcPr>
          <w:p>
            <w:pPr>
              <w:spacing w:after="0"/>
              <w:rPr>
                <w:sz w:val="9"/>
                <w:szCs w:val="9"/>
                <w:color w:val="auto"/>
              </w:rPr>
            </w:pPr>
          </w:p>
        </w:tc>
        <w:tc>
          <w:tcPr>
            <w:tcW w:w="168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14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960" w:type="dxa"/>
            <w:vAlign w:val="bottom"/>
            <w:gridSpan w:val="2"/>
          </w:tcPr>
          <w:p>
            <w:pPr>
              <w:ind w:left="20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10-K</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Form</w:t>
            </w: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020" w:type="dxa"/>
            <w:vAlign w:val="bottom"/>
            <w:tcBorders>
              <w:top w:val="single" w:sz="8" w:color="auto"/>
            </w:tcBorders>
            <w:gridSpan w:val="4"/>
          </w:tcPr>
          <w:p>
            <w:pPr>
              <w:jc w:val="right"/>
              <w:spacing w:after="0" w:line="183"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w:t>
              </w:r>
            </w:hyperlink>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60" w:type="dxa"/>
            <w:vAlign w:val="bottom"/>
            <w:tcBorders>
              <w:top w:val="single" w:sz="8" w:color="auto"/>
            </w:tcBorders>
          </w:tcPr>
          <w:p>
            <w:pPr>
              <w:ind w:left="20"/>
              <w:spacing w:after="0" w:line="183" w:lineRule="exact"/>
              <w:rPr>
                <w:sz w:val="20"/>
                <w:szCs w:val="20"/>
                <w:color w:val="auto"/>
              </w:rPr>
            </w:pPr>
            <w:r>
              <w:rPr>
                <w:rFonts w:ascii="Times New Roman" w:cs="Times New Roman" w:eastAsia="Times New Roman" w:hAnsi="Times New Roman"/>
                <w:sz w:val="18"/>
                <w:szCs w:val="18"/>
                <w:color w:val="auto"/>
              </w:rPr>
              <w:t>Asset Purchase Agreement dated as of August 9, 2022 by and</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Borders>
              <w:top w:val="single" w:sz="8" w:color="auto"/>
            </w:tcBorders>
          </w:tcPr>
          <w:p>
            <w:pPr>
              <w:jc w:val="center"/>
              <w:spacing w:after="0" w:line="183" w:lineRule="exact"/>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15"/>
                <w:szCs w:val="15"/>
                <w:color w:val="auto"/>
              </w:rPr>
            </w:pPr>
          </w:p>
        </w:tc>
        <w:tc>
          <w:tcPr>
            <w:tcW w:w="1460" w:type="dxa"/>
            <w:vAlign w:val="bottom"/>
            <w:tcBorders>
              <w:top w:val="single" w:sz="8" w:color="auto"/>
            </w:tcBorders>
          </w:tcPr>
          <w:p>
            <w:pPr>
              <w:jc w:val="center"/>
              <w:spacing w:after="0" w:line="183" w:lineRule="exact"/>
              <w:rPr>
                <w:sz w:val="20"/>
                <w:szCs w:val="20"/>
                <w:color w:val="auto"/>
              </w:rPr>
            </w:pPr>
            <w:r>
              <w:rPr>
                <w:rFonts w:ascii="Times New Roman" w:cs="Times New Roman" w:eastAsia="Times New Roman" w:hAnsi="Times New Roman"/>
                <w:sz w:val="18"/>
                <w:szCs w:val="18"/>
                <w:color w:val="auto"/>
                <w:w w:val="97"/>
              </w:rPr>
              <w:t>August 10, 2022</w:t>
            </w:r>
          </w:p>
        </w:tc>
        <w:tc>
          <w:tcPr>
            <w:tcW w:w="120" w:type="dxa"/>
            <w:vAlign w:val="bottom"/>
          </w:tcPr>
          <w:p>
            <w:pPr>
              <w:spacing w:after="0"/>
              <w:rPr>
                <w:sz w:val="15"/>
                <w:szCs w:val="15"/>
                <w:color w:val="auto"/>
              </w:rPr>
            </w:pPr>
          </w:p>
        </w:tc>
        <w:tc>
          <w:tcPr>
            <w:tcW w:w="110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96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5"/>
                <w:szCs w:val="15"/>
                <w:color w:val="auto"/>
              </w:rPr>
              <w:t>between KVH Industries, Inc., EMCORE Corporation and Delta</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 Sub, Inc.</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1060" w:type="dxa"/>
            <w:vAlign w:val="bottom"/>
            <w:gridSpan w:val="5"/>
          </w:tcPr>
          <w:p>
            <w:pPr>
              <w:jc w:val="right"/>
              <w:spacing w:after="0" w:line="193"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60" w:type="dxa"/>
            <w:vAlign w:val="bottom"/>
            <w:gridSpan w:val="2"/>
          </w:tcPr>
          <w:p>
            <w:pPr>
              <w:ind w:left="20"/>
              <w:spacing w:after="0" w:line="193" w:lineRule="exact"/>
              <w:rPr>
                <w:sz w:val="20"/>
                <w:szCs w:val="20"/>
                <w:color w:val="auto"/>
              </w:rPr>
            </w:pPr>
            <w:r>
              <w:rPr>
                <w:rFonts w:ascii="Times New Roman" w:cs="Times New Roman" w:eastAsia="Times New Roman" w:hAnsi="Times New Roman"/>
                <w:sz w:val="18"/>
                <w:szCs w:val="18"/>
                <w:color w:val="auto"/>
              </w:rPr>
              <w:t>Amended and Restated Certificate of Incorporation, as amended</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spacing w:after="0" w:line="193" w:lineRule="exact"/>
              <w:rPr>
                <w:sz w:val="20"/>
                <w:szCs w:val="20"/>
                <w:color w:val="auto"/>
              </w:rPr>
            </w:pPr>
            <w:r>
              <w:rPr>
                <w:rFonts w:ascii="Times New Roman" w:cs="Times New Roman" w:eastAsia="Times New Roman" w:hAnsi="Times New Roman"/>
                <w:sz w:val="18"/>
                <w:szCs w:val="18"/>
                <w:color w:val="auto"/>
                <w:w w:val="97"/>
              </w:rPr>
              <w:t>10-Q</w:t>
            </w:r>
          </w:p>
        </w:tc>
        <w:tc>
          <w:tcPr>
            <w:tcW w:w="100" w:type="dxa"/>
            <w:vAlign w:val="bottom"/>
          </w:tcPr>
          <w:p>
            <w:pPr>
              <w:spacing w:after="0"/>
              <w:rPr>
                <w:sz w:val="16"/>
                <w:szCs w:val="16"/>
                <w:color w:val="auto"/>
              </w:rPr>
            </w:pPr>
          </w:p>
        </w:tc>
        <w:tc>
          <w:tcPr>
            <w:tcW w:w="1580" w:type="dxa"/>
            <w:vAlign w:val="bottom"/>
            <w:gridSpan w:val="2"/>
          </w:tcPr>
          <w:p>
            <w:pPr>
              <w:jc w:val="center"/>
              <w:ind w:right="100"/>
              <w:spacing w:after="0" w:line="193" w:lineRule="exact"/>
              <w:rPr>
                <w:sz w:val="20"/>
                <w:szCs w:val="20"/>
                <w:color w:val="auto"/>
              </w:rPr>
            </w:pPr>
            <w:r>
              <w:rPr>
                <w:rFonts w:ascii="Times New Roman" w:cs="Times New Roman" w:eastAsia="Times New Roman" w:hAnsi="Times New Roman"/>
                <w:sz w:val="18"/>
                <w:szCs w:val="18"/>
                <w:color w:val="auto"/>
                <w:w w:val="97"/>
              </w:rPr>
              <w:t>August 6,</w:t>
            </w:r>
          </w:p>
        </w:tc>
        <w:tc>
          <w:tcPr>
            <w:tcW w:w="110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60" w:type="dxa"/>
            <w:vAlign w:val="bottom"/>
            <w:gridSpan w:val="2"/>
          </w:tcPr>
          <w:p>
            <w:pPr>
              <w:jc w:val="center"/>
              <w:ind w:left="41"/>
              <w:spacing w:after="0" w:line="198" w:lineRule="exact"/>
              <w:rPr>
                <w:sz w:val="20"/>
                <w:szCs w:val="20"/>
                <w:color w:val="auto"/>
              </w:rPr>
            </w:pPr>
            <w:r>
              <w:rPr>
                <w:rFonts w:ascii="Times New Roman" w:cs="Times New Roman" w:eastAsia="Times New Roman" w:hAnsi="Times New Roman"/>
                <w:sz w:val="18"/>
                <w:szCs w:val="18"/>
                <w:color w:val="auto"/>
                <w:w w:val="99"/>
              </w:rPr>
              <w:t>2010</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60" w:type="dxa"/>
            <w:vAlign w:val="bottom"/>
            <w:gridSpan w:val="5"/>
          </w:tcPr>
          <w:p>
            <w:pPr>
              <w:jc w:val="right"/>
              <w:spacing w:after="0" w:line="189"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Certificate of Designations of Series A Junior Participating</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8-A</w:t>
            </w:r>
          </w:p>
        </w:tc>
        <w:tc>
          <w:tcPr>
            <w:tcW w:w="100" w:type="dxa"/>
            <w:vAlign w:val="bottom"/>
          </w:tcPr>
          <w:p>
            <w:pPr>
              <w:spacing w:after="0"/>
              <w:rPr>
                <w:sz w:val="16"/>
                <w:szCs w:val="16"/>
                <w:color w:val="auto"/>
              </w:rPr>
            </w:pPr>
          </w:p>
        </w:tc>
        <w:tc>
          <w:tcPr>
            <w:tcW w:w="15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7"/>
              </w:rPr>
              <w:t>August 19, 2022</w:t>
            </w: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96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5"/>
                <w:szCs w:val="15"/>
                <w:color w:val="auto"/>
              </w:rPr>
              <w:t>Cumulative Preferred Stock of KVH Industries, Inc. classifying and</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6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color w:val="auto"/>
              </w:rPr>
              <w:t>designating the Series A Junior Participating Cumulative Preferred</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40" w:type="dxa"/>
            <w:vAlign w:val="bottom"/>
            <w:gridSpan w:val="3"/>
          </w:tcPr>
          <w:p>
            <w:pPr>
              <w:spacing w:after="0"/>
              <w:rPr>
                <w:sz w:val="16"/>
                <w:szCs w:val="16"/>
                <w:color w:val="auto"/>
              </w:rPr>
            </w:pPr>
          </w:p>
        </w:tc>
        <w:tc>
          <w:tcPr>
            <w:tcW w:w="220" w:type="dxa"/>
            <w:vAlign w:val="bottom"/>
            <w:tcBorders>
              <w:bottom w:val="single" w:sz="8" w:color="0000FF"/>
            </w:tcBorders>
            <w:gridSpan w:val="2"/>
          </w:tcPr>
          <w:p>
            <w:pPr>
              <w:jc w:val="right"/>
              <w:spacing w:after="0" w:line="189" w:lineRule="exact"/>
              <w:rPr>
                <w:rFonts w:ascii="Times New Roman" w:cs="Times New Roman" w:eastAsia="Times New Roman" w:hAnsi="Times New Roman"/>
                <w:sz w:val="18"/>
                <w:szCs w:val="18"/>
                <w:color w:val="0000FF"/>
                <w:w w:val="88"/>
              </w:rPr>
            </w:pPr>
            <w:hyperlink r:id="rId75">
              <w:r>
                <w:rPr>
                  <w:rFonts w:ascii="Times New Roman" w:cs="Times New Roman" w:eastAsia="Times New Roman" w:hAnsi="Times New Roman"/>
                  <w:sz w:val="18"/>
                  <w:szCs w:val="18"/>
                  <w:color w:val="0000FF"/>
                  <w:w w:val="88"/>
                </w:rPr>
                <w:t>3.</w:t>
              </w:r>
              <w:r>
                <w:rPr>
                  <w:rFonts w:ascii="Times New Roman" w:cs="Times New Roman" w:eastAsia="Times New Roman" w:hAnsi="Times New Roman"/>
                  <w:sz w:val="18"/>
                  <w:szCs w:val="18"/>
                  <w:u w:val="single" w:color="auto"/>
                  <w:color w:val="0000FF"/>
                  <w:w w:val="88"/>
                </w:rPr>
                <w:t>3</w:t>
              </w:r>
            </w:hyperlink>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Amended and Restated Bylaws</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10-Q</w:t>
            </w:r>
          </w:p>
        </w:tc>
        <w:tc>
          <w:tcPr>
            <w:tcW w:w="100" w:type="dxa"/>
            <w:vAlign w:val="bottom"/>
          </w:tcPr>
          <w:p>
            <w:pPr>
              <w:spacing w:after="0"/>
              <w:rPr>
                <w:sz w:val="16"/>
                <w:szCs w:val="16"/>
                <w:color w:val="auto"/>
              </w:rPr>
            </w:pPr>
          </w:p>
        </w:tc>
        <w:tc>
          <w:tcPr>
            <w:tcW w:w="15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8"/>
              </w:rPr>
              <w:t>November 1, 2017</w:t>
            </w: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40" w:type="dxa"/>
            <w:vAlign w:val="bottom"/>
            <w:gridSpan w:val="3"/>
          </w:tcPr>
          <w:p>
            <w:pPr>
              <w:spacing w:after="0"/>
              <w:rPr>
                <w:sz w:val="17"/>
                <w:szCs w:val="17"/>
                <w:color w:val="auto"/>
              </w:rPr>
            </w:pPr>
          </w:p>
        </w:tc>
        <w:tc>
          <w:tcPr>
            <w:tcW w:w="220" w:type="dxa"/>
            <w:vAlign w:val="bottom"/>
            <w:tcBorders>
              <w:bottom w:val="single" w:sz="8" w:color="0000FF"/>
            </w:tcBorders>
            <w:gridSpan w:val="2"/>
          </w:tcPr>
          <w:p>
            <w:pPr>
              <w:jc w:val="right"/>
              <w:spacing w:after="0" w:line="203" w:lineRule="exact"/>
              <w:rPr>
                <w:rFonts w:ascii="Times New Roman" w:cs="Times New Roman" w:eastAsia="Times New Roman" w:hAnsi="Times New Roman"/>
                <w:sz w:val="18"/>
                <w:szCs w:val="18"/>
                <w:color w:val="0000FF"/>
                <w:w w:val="88"/>
              </w:rPr>
            </w:pPr>
            <w:hyperlink r:id="rId76">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1</w:t>
              </w:r>
            </w:hyperlink>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6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Specimen certificate for the common stock</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10-K</w:t>
            </w:r>
          </w:p>
        </w:tc>
        <w:tc>
          <w:tcPr>
            <w:tcW w:w="100" w:type="dxa"/>
            <w:vAlign w:val="bottom"/>
          </w:tcPr>
          <w:p>
            <w:pPr>
              <w:spacing w:after="0"/>
              <w:rPr>
                <w:sz w:val="17"/>
                <w:szCs w:val="17"/>
                <w:color w:val="auto"/>
              </w:rPr>
            </w:pPr>
          </w:p>
        </w:tc>
        <w:tc>
          <w:tcPr>
            <w:tcW w:w="1580" w:type="dxa"/>
            <w:vAlign w:val="bottom"/>
            <w:gridSpan w:val="2"/>
          </w:tcPr>
          <w:p>
            <w:pPr>
              <w:jc w:val="center"/>
              <w:ind w:right="100"/>
              <w:spacing w:after="0" w:line="203" w:lineRule="exact"/>
              <w:rPr>
                <w:sz w:val="20"/>
                <w:szCs w:val="20"/>
                <w:color w:val="auto"/>
              </w:rPr>
            </w:pPr>
            <w:r>
              <w:rPr>
                <w:rFonts w:ascii="Times New Roman" w:cs="Times New Roman" w:eastAsia="Times New Roman" w:hAnsi="Times New Roman"/>
                <w:sz w:val="18"/>
                <w:szCs w:val="18"/>
                <w:color w:val="auto"/>
                <w:w w:val="98"/>
              </w:rPr>
              <w:t>March 2, 2018</w:t>
            </w: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gridSpan w:val="5"/>
          </w:tcPr>
          <w:p>
            <w:pPr>
              <w:jc w:val="right"/>
              <w:spacing w:after="0" w:line="203" w:lineRule="exact"/>
              <w:rPr>
                <w:sz w:val="20"/>
                <w:szCs w:val="20"/>
                <w:color w:val="auto"/>
              </w:rPr>
            </w:pPr>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6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Description of Capital Stock</w:t>
            </w:r>
          </w:p>
        </w:tc>
        <w:tc>
          <w:tcPr>
            <w:tcW w:w="1220" w:type="dxa"/>
            <w:vAlign w:val="bottom"/>
            <w:gridSpan w:val="2"/>
          </w:tcPr>
          <w:p>
            <w:pPr>
              <w:jc w:val="center"/>
              <w:ind w:right="100"/>
              <w:spacing w:after="0" w:line="203" w:lineRule="exact"/>
              <w:rPr>
                <w:sz w:val="20"/>
                <w:szCs w:val="20"/>
                <w:color w:val="auto"/>
              </w:rPr>
            </w:pPr>
            <w:r>
              <w:rPr>
                <w:rFonts w:ascii="Times New Roman" w:cs="Times New Roman" w:eastAsia="Times New Roman" w:hAnsi="Times New Roman"/>
                <w:sz w:val="18"/>
                <w:szCs w:val="18"/>
                <w:color w:val="auto"/>
                <w:w w:val="91"/>
              </w:rPr>
              <w:t>X</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60" w:type="dxa"/>
            <w:vAlign w:val="bottom"/>
            <w:gridSpan w:val="5"/>
          </w:tcPr>
          <w:p>
            <w:pPr>
              <w:jc w:val="right"/>
              <w:spacing w:after="0" w:line="203"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6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Amended and Restated 1996 Employee Stock Purchase Plan</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DEF 14A</w:t>
            </w:r>
          </w:p>
        </w:tc>
        <w:tc>
          <w:tcPr>
            <w:tcW w:w="100" w:type="dxa"/>
            <w:vAlign w:val="bottom"/>
          </w:tcPr>
          <w:p>
            <w:pPr>
              <w:spacing w:after="0"/>
              <w:rPr>
                <w:sz w:val="17"/>
                <w:szCs w:val="17"/>
                <w:color w:val="auto"/>
              </w:rPr>
            </w:pPr>
          </w:p>
        </w:tc>
        <w:tc>
          <w:tcPr>
            <w:tcW w:w="1580" w:type="dxa"/>
            <w:vAlign w:val="bottom"/>
            <w:gridSpan w:val="2"/>
          </w:tcPr>
          <w:p>
            <w:pPr>
              <w:jc w:val="center"/>
              <w:ind w:right="100"/>
              <w:spacing w:after="0" w:line="203" w:lineRule="exact"/>
              <w:rPr>
                <w:sz w:val="20"/>
                <w:szCs w:val="20"/>
                <w:color w:val="auto"/>
              </w:rPr>
            </w:pPr>
            <w:r>
              <w:rPr>
                <w:rFonts w:ascii="Times New Roman" w:cs="Times New Roman" w:eastAsia="Times New Roman" w:hAnsi="Times New Roman"/>
                <w:sz w:val="18"/>
                <w:szCs w:val="18"/>
                <w:color w:val="auto"/>
                <w:w w:val="98"/>
              </w:rPr>
              <w:t>April 25, 2016</w:t>
            </w:r>
          </w:p>
        </w:tc>
        <w:tc>
          <w:tcPr>
            <w:tcW w:w="1120" w:type="dxa"/>
            <w:vAlign w:val="bottom"/>
            <w:gridSpan w:val="2"/>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App. B</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60" w:type="dxa"/>
            <w:vAlign w:val="bottom"/>
            <w:gridSpan w:val="5"/>
          </w:tcPr>
          <w:p>
            <w:pPr>
              <w:jc w:val="right"/>
              <w:spacing w:after="0" w:line="190"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60" w:type="dxa"/>
            <w:vAlign w:val="bottom"/>
            <w:gridSpan w:val="2"/>
          </w:tcPr>
          <w:p>
            <w:pPr>
              <w:ind w:left="20"/>
              <w:spacing w:after="0" w:line="190" w:lineRule="exact"/>
              <w:rPr>
                <w:sz w:val="20"/>
                <w:szCs w:val="20"/>
                <w:color w:val="auto"/>
              </w:rPr>
            </w:pPr>
            <w:r>
              <w:rPr>
                <w:rFonts w:ascii="Times New Roman" w:cs="Times New Roman" w:eastAsia="Times New Roman" w:hAnsi="Times New Roman"/>
                <w:sz w:val="18"/>
                <w:szCs w:val="18"/>
                <w:color w:val="auto"/>
              </w:rPr>
              <w:t>KVH Industries, Inc. Amended and Restated 2016 Equity and</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color w:val="auto"/>
                <w:w w:val="97"/>
              </w:rPr>
              <w:t>DEF 14A</w:t>
            </w:r>
          </w:p>
        </w:tc>
        <w:tc>
          <w:tcPr>
            <w:tcW w:w="100" w:type="dxa"/>
            <w:vAlign w:val="bottom"/>
          </w:tcPr>
          <w:p>
            <w:pPr>
              <w:spacing w:after="0"/>
              <w:rPr>
                <w:sz w:val="17"/>
                <w:szCs w:val="17"/>
                <w:color w:val="auto"/>
              </w:rPr>
            </w:pPr>
          </w:p>
        </w:tc>
        <w:tc>
          <w:tcPr>
            <w:tcW w:w="1580" w:type="dxa"/>
            <w:vAlign w:val="bottom"/>
            <w:gridSpan w:val="2"/>
          </w:tcPr>
          <w:p>
            <w:pPr>
              <w:jc w:val="center"/>
              <w:ind w:right="100"/>
              <w:spacing w:after="0" w:line="190" w:lineRule="exact"/>
              <w:rPr>
                <w:sz w:val="20"/>
                <w:szCs w:val="20"/>
                <w:color w:val="auto"/>
              </w:rPr>
            </w:pPr>
            <w:r>
              <w:rPr>
                <w:rFonts w:ascii="Times New Roman" w:cs="Times New Roman" w:eastAsia="Times New Roman" w:hAnsi="Times New Roman"/>
                <w:sz w:val="18"/>
                <w:szCs w:val="18"/>
                <w:color w:val="auto"/>
                <w:w w:val="96"/>
              </w:rPr>
              <w:t>May 2, 2022</w:t>
            </w:r>
          </w:p>
        </w:tc>
        <w:tc>
          <w:tcPr>
            <w:tcW w:w="1120" w:type="dxa"/>
            <w:vAlign w:val="bottom"/>
            <w:gridSpan w:val="2"/>
          </w:tcPr>
          <w:p>
            <w:pPr>
              <w:jc w:val="right"/>
              <w:ind w:right="40"/>
              <w:spacing w:after="0" w:line="190" w:lineRule="exact"/>
              <w:rPr>
                <w:sz w:val="20"/>
                <w:szCs w:val="20"/>
                <w:color w:val="auto"/>
              </w:rPr>
            </w:pPr>
            <w:r>
              <w:rPr>
                <w:rFonts w:ascii="Times New Roman" w:cs="Times New Roman" w:eastAsia="Times New Roman" w:hAnsi="Times New Roman"/>
                <w:sz w:val="18"/>
                <w:szCs w:val="18"/>
                <w:color w:val="auto"/>
              </w:rPr>
              <w:t>App. A</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Incentive Plan, as amended</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060" w:type="dxa"/>
            <w:vAlign w:val="bottom"/>
            <w:gridSpan w:val="5"/>
          </w:tcPr>
          <w:p>
            <w:pPr>
              <w:jc w:val="right"/>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Incentive Stock Option Agreement granted under the 2016</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March 9, 2017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Equity and Incentive Plan</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60" w:type="dxa"/>
            <w:vAlign w:val="bottom"/>
            <w:gridSpan w:val="5"/>
          </w:tcPr>
          <w:p>
            <w:pPr>
              <w:jc w:val="right"/>
              <w:spacing w:after="0" w:line="189"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Non-Statutory Stock Option Agreement granted under the</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10-K</w:t>
            </w:r>
          </w:p>
        </w:tc>
        <w:tc>
          <w:tcPr>
            <w:tcW w:w="100" w:type="dxa"/>
            <w:vAlign w:val="bottom"/>
          </w:tcPr>
          <w:p>
            <w:pPr>
              <w:spacing w:after="0"/>
              <w:rPr>
                <w:sz w:val="16"/>
                <w:szCs w:val="16"/>
                <w:color w:val="auto"/>
              </w:rPr>
            </w:pPr>
          </w:p>
        </w:tc>
        <w:tc>
          <w:tcPr>
            <w:tcW w:w="15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8"/>
              </w:rPr>
              <w:t>March 9, 2017</w:t>
            </w: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2016 Equity and Incentive Plan</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60" w:type="dxa"/>
            <w:vAlign w:val="bottom"/>
            <w:gridSpan w:val="5"/>
          </w:tcPr>
          <w:p>
            <w:pPr>
              <w:jc w:val="right"/>
              <w:spacing w:after="0" w:line="189"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Restricted Stock Agreement granted under the 2016 Equity</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10-K</w:t>
            </w:r>
          </w:p>
        </w:tc>
        <w:tc>
          <w:tcPr>
            <w:tcW w:w="100" w:type="dxa"/>
            <w:vAlign w:val="bottom"/>
          </w:tcPr>
          <w:p>
            <w:pPr>
              <w:spacing w:after="0"/>
              <w:rPr>
                <w:sz w:val="16"/>
                <w:szCs w:val="16"/>
                <w:color w:val="auto"/>
              </w:rPr>
            </w:pPr>
          </w:p>
        </w:tc>
        <w:tc>
          <w:tcPr>
            <w:tcW w:w="15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8"/>
              </w:rPr>
              <w:t>March 9, 2017</w:t>
            </w: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and Incentive Plan</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6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Policy Regarding Automatic Grants to Non-Employee Directors</w:t>
            </w:r>
          </w:p>
        </w:tc>
        <w:tc>
          <w:tcPr>
            <w:tcW w:w="122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1"/>
              </w:rPr>
              <w:t>X</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7"/>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20"/>
        <w:spacing w:after="0"/>
        <w:tabs>
          <w:tab w:leader="none" w:pos="324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30480</wp:posOffset>
            </wp:positionV>
            <wp:extent cx="37890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spacing w:after="0" w:line="35" w:lineRule="exact"/>
        <w:rPr>
          <w:sz w:val="20"/>
          <w:szCs w:val="20"/>
          <w:color w:val="auto"/>
        </w:rPr>
      </w:pPr>
    </w:p>
    <w:p>
      <w:pPr>
        <w:ind w:left="1240" w:right="540" w:hanging="533"/>
        <w:spacing w:after="0" w:line="231" w:lineRule="auto"/>
        <w:tabs>
          <w:tab w:leader="none" w:pos="12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85">
        <w:r>
          <w:rPr>
            <w:rFonts w:ascii="Times New Roman" w:cs="Times New Roman" w:eastAsia="Times New Roman" w:hAnsi="Times New Roman"/>
            <w:sz w:val="18"/>
            <w:szCs w:val="18"/>
            <w:u w:val="single" w:color="auto"/>
            <w:color w:val="0000FF"/>
          </w:rPr>
          <w:t>10.7</w:t>
        </w:r>
      </w:hyperlink>
      <w:r>
        <w:rPr>
          <w:rFonts w:ascii="Times New Roman" w:cs="Times New Roman" w:eastAsia="Times New Roman" w:hAnsi="Times New Roman"/>
          <w:sz w:val="18"/>
          <w:szCs w:val="18"/>
          <w:color w:val="auto"/>
        </w:rPr>
        <w:tab/>
        <w:t>Executive Employment Agreement dated as of May 2, 2022 between KVH Industries, Inc. and Brent C. Bruun</w:t>
      </w:r>
    </w:p>
    <w:p>
      <w:pPr>
        <w:spacing w:after="0" w:line="9" w:lineRule="exact"/>
        <w:rPr>
          <w:sz w:val="20"/>
          <w:szCs w:val="20"/>
          <w:color w:val="auto"/>
        </w:rPr>
      </w:pPr>
    </w:p>
    <w:p>
      <w:pPr>
        <w:ind w:left="1240" w:right="140" w:hanging="533"/>
        <w:spacing w:after="0" w:line="244" w:lineRule="auto"/>
        <w:tabs>
          <w:tab w:leader="none" w:pos="12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86">
        <w:r>
          <w:rPr>
            <w:rFonts w:ascii="Times New Roman" w:cs="Times New Roman" w:eastAsia="Times New Roman" w:hAnsi="Times New Roman"/>
            <w:sz w:val="18"/>
            <w:szCs w:val="18"/>
            <w:u w:val="single" w:color="auto"/>
            <w:color w:val="0000FF"/>
          </w:rPr>
          <w:t>10.8</w:t>
        </w:r>
      </w:hyperlink>
      <w:r>
        <w:rPr>
          <w:rFonts w:ascii="Times New Roman" w:cs="Times New Roman" w:eastAsia="Times New Roman" w:hAnsi="Times New Roman"/>
          <w:sz w:val="18"/>
          <w:szCs w:val="18"/>
          <w:color w:val="auto"/>
        </w:rPr>
        <w:tab/>
      </w:r>
      <w:r>
        <w:rPr>
          <w:rFonts w:ascii="Times New Roman" w:cs="Times New Roman" w:eastAsia="Times New Roman" w:hAnsi="Times New Roman"/>
          <w:sz w:val="16"/>
          <w:szCs w:val="16"/>
          <w:color w:val="auto"/>
        </w:rPr>
        <w:t>Amendment No. 1 dated as of October 11, 2022 to Executive Employment Agreement between KVH Industries, Inc. and Brent</w:t>
      </w:r>
    </w:p>
    <w:p>
      <w:pPr>
        <w:spacing w:after="0" w:line="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C. Bruun</w:t>
      </w:r>
    </w:p>
    <w:p>
      <w:pPr>
        <w:jc w:val="center"/>
        <w:ind w:left="160"/>
        <w:spacing w:after="0"/>
        <w:tabs>
          <w:tab w:leader="none" w:pos="1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87">
        <w:r>
          <w:rPr>
            <w:rFonts w:ascii="Times New Roman" w:cs="Times New Roman" w:eastAsia="Times New Roman" w:hAnsi="Times New Roman"/>
            <w:sz w:val="18"/>
            <w:szCs w:val="18"/>
            <w:u w:val="single" w:color="auto"/>
            <w:color w:val="0000FF"/>
          </w:rPr>
          <w:t>10.9</w:t>
        </w:r>
      </w:hyperlink>
      <w:r>
        <w:rPr>
          <w:rFonts w:ascii="Times New Roman" w:cs="Times New Roman" w:eastAsia="Times New Roman" w:hAnsi="Times New Roman"/>
          <w:sz w:val="18"/>
          <w:szCs w:val="18"/>
          <w:color w:val="auto"/>
        </w:rPr>
        <w:tab/>
      </w:r>
      <w:r>
        <w:rPr>
          <w:rFonts w:ascii="Times New Roman" w:cs="Times New Roman" w:eastAsia="Times New Roman" w:hAnsi="Times New Roman"/>
          <w:sz w:val="16"/>
          <w:szCs w:val="16"/>
          <w:color w:val="auto"/>
        </w:rPr>
        <w:t>Executive Employment Agreement dated as of May 2, 2022</w:t>
      </w:r>
    </w:p>
    <w:p>
      <w:pPr>
        <w:jc w:val="center"/>
        <w:ind w:left="140"/>
        <w:spacing w:after="0"/>
        <w:rPr>
          <w:sz w:val="20"/>
          <w:szCs w:val="20"/>
          <w:color w:val="auto"/>
        </w:rPr>
      </w:pPr>
      <w:r>
        <w:rPr>
          <w:rFonts w:ascii="Times New Roman" w:cs="Times New Roman" w:eastAsia="Times New Roman" w:hAnsi="Times New Roman"/>
          <w:sz w:val="18"/>
          <w:szCs w:val="18"/>
          <w:color w:val="auto"/>
        </w:rPr>
        <w:t>between KVH Industries, Inc. and Roger A. Kuebel</w:t>
      </w:r>
    </w:p>
    <w:p>
      <w:pPr>
        <w:spacing w:after="0" w:line="10" w:lineRule="exact"/>
        <w:rPr>
          <w:sz w:val="20"/>
          <w:szCs w:val="20"/>
          <w:color w:val="auto"/>
        </w:rPr>
      </w:pPr>
    </w:p>
    <w:p>
      <w:pPr>
        <w:ind w:left="1240" w:right="540" w:hanging="620"/>
        <w:spacing w:after="0" w:line="265" w:lineRule="auto"/>
        <w:tabs>
          <w:tab w:leader="none" w:pos="1220" w:val="left"/>
        </w:tabs>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u w:val="single" w:color="auto"/>
            <w:color w:val="0000FF"/>
          </w:rPr>
          <w:t>*10.10</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6"/>
          <w:szCs w:val="16"/>
          <w:color w:val="0000FF"/>
        </w:rPr>
        <w:t>Executive Employment Agreement dated as of May 2, 2022 between KVH Industries, Inc. and Felise B. Feingold</w:t>
      </w:r>
    </w:p>
    <w:p>
      <w:pPr>
        <w:jc w:val="center"/>
        <w:ind w:left="80"/>
        <w:spacing w:after="0"/>
        <w:tabs>
          <w:tab w:leader="none" w:pos="12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10.11</w:t>
      </w:r>
      <w:r>
        <w:rPr>
          <w:sz w:val="20"/>
          <w:szCs w:val="20"/>
          <w:color w:val="auto"/>
        </w:rPr>
        <w:tab/>
      </w:r>
      <w:r>
        <w:rPr>
          <w:rFonts w:ascii="Times New Roman" w:cs="Times New Roman" w:eastAsia="Times New Roman" w:hAnsi="Times New Roman"/>
          <w:sz w:val="16"/>
          <w:szCs w:val="16"/>
          <w:color w:val="auto"/>
        </w:rPr>
        <w:t>Executive Employment Agreement dated as of May 9, 2022</w:t>
      </w:r>
    </w:p>
    <w:p>
      <w:pPr>
        <w:spacing w:after="0" w:line="1" w:lineRule="exact"/>
        <w:rPr>
          <w:sz w:val="20"/>
          <w:szCs w:val="20"/>
          <w:color w:val="auto"/>
        </w:rPr>
      </w:pPr>
    </w:p>
    <w:p>
      <w:pPr>
        <w:jc w:val="center"/>
        <w:ind w:left="40"/>
        <w:spacing w:after="0"/>
        <w:rPr>
          <w:sz w:val="20"/>
          <w:szCs w:val="20"/>
          <w:color w:val="auto"/>
        </w:rPr>
      </w:pPr>
      <w:r>
        <w:rPr>
          <w:rFonts w:ascii="Times New Roman" w:cs="Times New Roman" w:eastAsia="Times New Roman" w:hAnsi="Times New Roman"/>
          <w:sz w:val="18"/>
          <w:szCs w:val="18"/>
          <w:color w:val="auto"/>
        </w:rPr>
        <w:t>between KVH Industries, Inc. and Robert J. Balog</w:t>
      </w:r>
    </w:p>
    <w:p>
      <w:pPr>
        <w:spacing w:after="0" w:line="10" w:lineRule="exact"/>
        <w:rPr>
          <w:sz w:val="20"/>
          <w:szCs w:val="20"/>
          <w:color w:val="auto"/>
        </w:rPr>
      </w:pPr>
    </w:p>
    <w:p>
      <w:pPr>
        <w:ind w:left="1240" w:hanging="621"/>
        <w:spacing w:after="0" w:line="244" w:lineRule="auto"/>
        <w:tabs>
          <w:tab w:leader="none" w:pos="12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89">
        <w:r>
          <w:rPr>
            <w:rFonts w:ascii="Times New Roman" w:cs="Times New Roman" w:eastAsia="Times New Roman" w:hAnsi="Times New Roman"/>
            <w:sz w:val="18"/>
            <w:szCs w:val="18"/>
            <w:u w:val="single" w:color="auto"/>
            <w:color w:val="0000FF"/>
          </w:rPr>
          <w:t>10.12</w:t>
        </w:r>
      </w:hyperlink>
      <w:r>
        <w:rPr>
          <w:rFonts w:ascii="Times New Roman" w:cs="Times New Roman" w:eastAsia="Times New Roman" w:hAnsi="Times New Roman"/>
          <w:sz w:val="18"/>
          <w:szCs w:val="18"/>
          <w:color w:val="auto"/>
        </w:rPr>
        <w:tab/>
      </w:r>
      <w:r>
        <w:rPr>
          <w:rFonts w:ascii="Times New Roman" w:cs="Times New Roman" w:eastAsia="Times New Roman" w:hAnsi="Times New Roman"/>
          <w:sz w:val="16"/>
          <w:szCs w:val="16"/>
          <w:color w:val="auto"/>
        </w:rPr>
        <w:t>Cooperation Agreement, dated as of February 3, 2023, by and among KVH Industries, Inc., Black Diamond Capital Management,</w:t>
      </w:r>
    </w:p>
    <w:p>
      <w:pPr>
        <w:spacing w:after="0" w:line="1" w:lineRule="exact"/>
        <w:rPr>
          <w:sz w:val="20"/>
          <w:szCs w:val="20"/>
          <w:color w:val="auto"/>
        </w:rPr>
      </w:pPr>
    </w:p>
    <w:p>
      <w:pPr>
        <w:ind w:left="1240" w:right="120"/>
        <w:spacing w:after="0" w:line="219" w:lineRule="auto"/>
        <w:rPr>
          <w:sz w:val="20"/>
          <w:szCs w:val="20"/>
          <w:color w:val="auto"/>
        </w:rPr>
      </w:pPr>
      <w:r>
        <w:rPr>
          <w:rFonts w:ascii="Times New Roman" w:cs="Times New Roman" w:eastAsia="Times New Roman" w:hAnsi="Times New Roman"/>
          <w:sz w:val="18"/>
          <w:szCs w:val="18"/>
          <w:color w:val="auto"/>
        </w:rPr>
        <w:t>L.L.C., Stephen H. Deckoff and the Investor Group Designees (as defined therein)</w:t>
      </w:r>
    </w:p>
    <w:p>
      <w:pPr>
        <w:spacing w:after="0" w:line="1" w:lineRule="exact"/>
        <w:rPr>
          <w:sz w:val="20"/>
          <w:szCs w:val="20"/>
          <w:color w:val="auto"/>
        </w:rPr>
      </w:pPr>
    </w:p>
    <w:p>
      <w:pPr>
        <w:ind w:left="1240" w:right="280" w:hanging="621"/>
        <w:spacing w:after="0" w:line="228" w:lineRule="auto"/>
        <w:tabs>
          <w:tab w:leader="none" w:pos="122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10.13</w:t>
      </w:r>
      <w:r>
        <w:rPr>
          <w:rFonts w:ascii="Times New Roman" w:cs="Times New Roman" w:eastAsia="Times New Roman" w:hAnsi="Times New Roman"/>
          <w:sz w:val="18"/>
          <w:szCs w:val="18"/>
          <w:color w:val="auto"/>
        </w:rPr>
        <w:tab/>
        <w:t>Form of Indemnification Agreement for directors and executive officers</w:t>
      </w:r>
    </w:p>
    <w:p>
      <w:pPr>
        <w:spacing w:after="0" w:line="10" w:lineRule="exact"/>
        <w:rPr>
          <w:sz w:val="20"/>
          <w:szCs w:val="20"/>
          <w:color w:val="auto"/>
        </w:rPr>
      </w:pPr>
    </w:p>
    <w:p>
      <w:pPr>
        <w:ind w:left="800"/>
        <w:spacing w:after="0"/>
        <w:tabs>
          <w:tab w:leader="none" w:pos="1220" w:val="left"/>
        </w:tabs>
        <w:rPr>
          <w:sz w:val="20"/>
          <w:szCs w:val="20"/>
          <w:color w:val="auto"/>
        </w:rPr>
      </w:pPr>
      <w:r>
        <w:rPr>
          <w:rFonts w:ascii="Times New Roman" w:cs="Times New Roman" w:eastAsia="Times New Roman" w:hAnsi="Times New Roman"/>
          <w:sz w:val="18"/>
          <w:szCs w:val="18"/>
          <w:u w:val="single" w:color="auto"/>
          <w:color w:val="0000FF"/>
        </w:rPr>
        <w:t>97.1</w:t>
      </w:r>
      <w:r>
        <w:rPr>
          <w:sz w:val="20"/>
          <w:szCs w:val="20"/>
          <w:color w:val="auto"/>
        </w:rPr>
        <w:tab/>
      </w:r>
      <w:r>
        <w:rPr>
          <w:rFonts w:ascii="Times New Roman" w:cs="Times New Roman" w:eastAsia="Times New Roman" w:hAnsi="Times New Roman"/>
          <w:sz w:val="16"/>
          <w:szCs w:val="16"/>
          <w:color w:val="auto"/>
        </w:rPr>
        <w:t>KVH Compensation Recovery Policy</w:t>
      </w:r>
    </w:p>
    <w:p>
      <w:pPr>
        <w:spacing w:after="0" w:line="21" w:lineRule="exact"/>
        <w:rPr>
          <w:sz w:val="20"/>
          <w:szCs w:val="20"/>
          <w:color w:val="auto"/>
        </w:rPr>
      </w:pPr>
    </w:p>
    <w:p>
      <w:pPr>
        <w:ind w:left="800"/>
        <w:spacing w:after="0"/>
        <w:tabs>
          <w:tab w:leader="none" w:pos="1220" w:val="left"/>
        </w:tabs>
        <w:rPr>
          <w:sz w:val="20"/>
          <w:szCs w:val="20"/>
          <w:color w:val="auto"/>
        </w:rPr>
      </w:pPr>
      <w:r>
        <w:rPr>
          <w:rFonts w:ascii="Times New Roman" w:cs="Times New Roman" w:eastAsia="Times New Roman" w:hAnsi="Times New Roman"/>
          <w:sz w:val="18"/>
          <w:szCs w:val="18"/>
          <w:u w:val="single" w:color="auto"/>
          <w:color w:val="0000FF"/>
        </w:rPr>
        <w:t>21.1</w:t>
      </w:r>
      <w:r>
        <w:rPr>
          <w:sz w:val="20"/>
          <w:szCs w:val="20"/>
          <w:color w:val="auto"/>
        </w:rPr>
        <w:tab/>
      </w:r>
      <w:r>
        <w:rPr>
          <w:rFonts w:ascii="Times New Roman" w:cs="Times New Roman" w:eastAsia="Times New Roman" w:hAnsi="Times New Roman"/>
          <w:sz w:val="16"/>
          <w:szCs w:val="16"/>
          <w:color w:val="auto"/>
        </w:rPr>
        <w:t>List of Subsidiaries</w:t>
      </w:r>
    </w:p>
    <w:p>
      <w:pPr>
        <w:spacing w:after="0" w:line="16" w:lineRule="exact"/>
        <w:rPr>
          <w:sz w:val="20"/>
          <w:szCs w:val="20"/>
          <w:color w:val="auto"/>
        </w:rPr>
      </w:pPr>
    </w:p>
    <w:p>
      <w:pPr>
        <w:ind w:left="800"/>
        <w:spacing w:after="0"/>
        <w:tabs>
          <w:tab w:leader="none" w:pos="1220" w:val="left"/>
        </w:tabs>
        <w:rPr>
          <w:sz w:val="20"/>
          <w:szCs w:val="20"/>
          <w:color w:val="auto"/>
        </w:rPr>
      </w:pPr>
      <w:r>
        <w:rPr>
          <w:rFonts w:ascii="Times New Roman" w:cs="Times New Roman" w:eastAsia="Times New Roman" w:hAnsi="Times New Roman"/>
          <w:sz w:val="18"/>
          <w:szCs w:val="18"/>
          <w:u w:val="single" w:color="auto"/>
          <w:color w:val="0000FF"/>
        </w:rPr>
        <w:t>23.1</w:t>
      </w:r>
      <w:r>
        <w:rPr>
          <w:sz w:val="20"/>
          <w:szCs w:val="20"/>
          <w:color w:val="auto"/>
        </w:rPr>
        <w:tab/>
      </w:r>
      <w:r>
        <w:rPr>
          <w:rFonts w:ascii="Times New Roman" w:cs="Times New Roman" w:eastAsia="Times New Roman" w:hAnsi="Times New Roman"/>
          <w:sz w:val="16"/>
          <w:szCs w:val="16"/>
          <w:color w:val="auto"/>
        </w:rPr>
        <w:t>Consent of Grant Thornton LLP</w:t>
      </w:r>
    </w:p>
    <w:p>
      <w:pPr>
        <w:spacing w:after="0" w:line="16" w:lineRule="exact"/>
        <w:rPr>
          <w:sz w:val="20"/>
          <w:szCs w:val="20"/>
          <w:color w:val="auto"/>
        </w:rPr>
      </w:pPr>
    </w:p>
    <w:p>
      <w:pPr>
        <w:ind w:left="1240" w:right="480" w:hanging="445"/>
        <w:spacing w:after="0" w:line="228" w:lineRule="auto"/>
        <w:tabs>
          <w:tab w:leader="none" w:pos="1220" w:val="left"/>
        </w:tabs>
        <w:rPr>
          <w:sz w:val="20"/>
          <w:szCs w:val="20"/>
          <w:color w:val="auto"/>
        </w:rPr>
      </w:pPr>
      <w:r>
        <w:rPr>
          <w:rFonts w:ascii="Times New Roman" w:cs="Times New Roman" w:eastAsia="Times New Roman" w:hAnsi="Times New Roman"/>
          <w:sz w:val="18"/>
          <w:szCs w:val="18"/>
          <w:u w:val="single" w:color="auto"/>
          <w:color w:val="0000FF"/>
        </w:rPr>
        <w:t>31.1</w:t>
      </w:r>
      <w:r>
        <w:rPr>
          <w:sz w:val="20"/>
          <w:szCs w:val="20"/>
          <w:color w:val="auto"/>
        </w:rPr>
        <w:tab/>
      </w:r>
      <w:r>
        <w:rPr>
          <w:rFonts w:ascii="Times New Roman" w:cs="Times New Roman" w:eastAsia="Times New Roman" w:hAnsi="Times New Roman"/>
          <w:sz w:val="18"/>
          <w:szCs w:val="18"/>
          <w:color w:val="auto"/>
        </w:rPr>
        <w:t>Rule 13a-14(a)/15d-14(a) certification of principal executive officer</w:t>
      </w:r>
    </w:p>
    <w:p>
      <w:pPr>
        <w:spacing w:after="0" w:line="10" w:lineRule="exact"/>
        <w:rPr>
          <w:sz w:val="20"/>
          <w:szCs w:val="20"/>
          <w:color w:val="auto"/>
        </w:rPr>
      </w:pPr>
    </w:p>
    <w:p>
      <w:pPr>
        <w:ind w:left="800"/>
        <w:spacing w:after="0"/>
        <w:tabs>
          <w:tab w:leader="none" w:pos="1220" w:val="left"/>
        </w:tabs>
        <w:rPr>
          <w:sz w:val="20"/>
          <w:szCs w:val="20"/>
          <w:color w:val="auto"/>
        </w:rPr>
      </w:pPr>
      <w:r>
        <w:rPr>
          <w:rFonts w:ascii="Times New Roman" w:cs="Times New Roman" w:eastAsia="Times New Roman" w:hAnsi="Times New Roman"/>
          <w:sz w:val="18"/>
          <w:szCs w:val="18"/>
          <w:u w:val="single" w:color="auto"/>
          <w:color w:val="0000FF"/>
        </w:rPr>
        <w:t>31.2</w:t>
      </w:r>
      <w:r>
        <w:rPr>
          <w:sz w:val="20"/>
          <w:szCs w:val="20"/>
          <w:color w:val="auto"/>
        </w:rPr>
        <w:tab/>
      </w:r>
      <w:r>
        <w:rPr>
          <w:rFonts w:ascii="Times New Roman" w:cs="Times New Roman" w:eastAsia="Times New Roman" w:hAnsi="Times New Roman"/>
          <w:sz w:val="16"/>
          <w:szCs w:val="16"/>
          <w:color w:val="auto"/>
        </w:rPr>
        <w:t>Rule 13a-14(a)/15d-14(a) certification of principal financial officer</w:t>
      </w:r>
    </w:p>
    <w:p>
      <w:pPr>
        <w:spacing w:after="0" w:line="21" w:lineRule="exact"/>
        <w:rPr>
          <w:sz w:val="20"/>
          <w:szCs w:val="20"/>
          <w:color w:val="auto"/>
        </w:rPr>
      </w:pPr>
    </w:p>
    <w:p>
      <w:pPr>
        <w:ind w:left="800"/>
        <w:spacing w:after="0"/>
        <w:tabs>
          <w:tab w:leader="none" w:pos="1220" w:val="left"/>
        </w:tabs>
        <w:rPr>
          <w:sz w:val="20"/>
          <w:szCs w:val="20"/>
          <w:color w:val="auto"/>
        </w:rPr>
      </w:pPr>
      <w:r>
        <w:rPr>
          <w:rFonts w:ascii="Times New Roman" w:cs="Times New Roman" w:eastAsia="Times New Roman" w:hAnsi="Times New Roman"/>
          <w:sz w:val="18"/>
          <w:szCs w:val="18"/>
          <w:u w:val="single" w:color="auto"/>
          <w:color w:val="0000FF"/>
        </w:rPr>
        <w:t>32.1</w:t>
      </w:r>
      <w:r>
        <w:rPr>
          <w:sz w:val="20"/>
          <w:szCs w:val="20"/>
          <w:color w:val="auto"/>
        </w:rPr>
        <w:tab/>
      </w:r>
      <w:r>
        <w:rPr>
          <w:rFonts w:ascii="Times New Roman" w:cs="Times New Roman" w:eastAsia="Times New Roman" w:hAnsi="Times New Roman"/>
          <w:sz w:val="16"/>
          <w:szCs w:val="16"/>
          <w:color w:val="auto"/>
        </w:rPr>
        <w:t>Rule 1350 certification</w:t>
      </w:r>
    </w:p>
    <w:p>
      <w:pPr>
        <w:spacing w:after="0" w:line="16" w:lineRule="exact"/>
        <w:rPr>
          <w:sz w:val="20"/>
          <w:szCs w:val="20"/>
          <w:color w:val="auto"/>
        </w:rPr>
      </w:pPr>
    </w:p>
    <w:p>
      <w:pPr>
        <w:ind w:left="1240" w:right="260" w:hanging="533"/>
        <w:spacing w:after="0" w:line="241" w:lineRule="auto"/>
        <w:tabs>
          <w:tab w:leader="none" w:pos="122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6"/>
          <w:szCs w:val="16"/>
          <w:color w:val="auto"/>
        </w:rPr>
        <w:t>Interactive Data File regarding (a) our Consolidated Balance Sheets as of December 31, 2023 and 2022, (b) our Consolidated</w:t>
      </w:r>
    </w:p>
    <w:p>
      <w:pPr>
        <w:spacing w:after="0" w:line="1" w:lineRule="exact"/>
        <w:rPr>
          <w:sz w:val="20"/>
          <w:szCs w:val="20"/>
          <w:color w:val="auto"/>
        </w:rPr>
      </w:pPr>
    </w:p>
    <w:p>
      <w:pPr>
        <w:ind w:left="1240" w:right="160"/>
        <w:spacing w:after="0" w:line="228" w:lineRule="auto"/>
        <w:rPr>
          <w:sz w:val="20"/>
          <w:szCs w:val="20"/>
          <w:color w:val="auto"/>
        </w:rPr>
      </w:pPr>
      <w:r>
        <w:rPr>
          <w:rFonts w:ascii="Times New Roman" w:cs="Times New Roman" w:eastAsia="Times New Roman" w:hAnsi="Times New Roman"/>
          <w:sz w:val="16"/>
          <w:szCs w:val="16"/>
          <w:color w:val="auto"/>
        </w:rPr>
        <w:t>Statements of Operations for the years ended December 31, 2023 and 2022, (c) our Consolidated Statements of Comprehensive (Loss) Income for the years ended December 31, 2023 and 2022,</w:t>
      </w:r>
    </w:p>
    <w:p>
      <w:pPr>
        <w:spacing w:after="0" w:line="1" w:lineRule="exact"/>
        <w:rPr>
          <w:sz w:val="20"/>
          <w:szCs w:val="20"/>
          <w:color w:val="auto"/>
        </w:rPr>
      </w:pPr>
    </w:p>
    <w:p>
      <w:pPr>
        <w:ind w:left="1240" w:right="120" w:hanging="2"/>
        <w:spacing w:after="0" w:line="209" w:lineRule="auto"/>
        <w:tabs>
          <w:tab w:leader="none" w:pos="148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Consolidated Statements of Stockholders' Equity for the years ended December 31, 2023 and 2022, (e) our Consolidated Statements of Cash Flows for the years ended December 31, 2023 and 2022, and (e) the Notes to such Consolidated Financial Statements</w:t>
      </w:r>
    </w:p>
    <w:p>
      <w:pPr>
        <w:spacing w:after="0" w:line="3" w:lineRule="exact"/>
        <w:rPr>
          <w:sz w:val="20"/>
          <w:szCs w:val="20"/>
          <w:color w:val="auto"/>
        </w:rPr>
      </w:pPr>
    </w:p>
    <w:p>
      <w:pPr>
        <w:ind w:left="1240" w:right="420" w:hanging="533"/>
        <w:spacing w:after="0" w:line="228" w:lineRule="auto"/>
        <w:tabs>
          <w:tab w:leader="none" w:pos="1220" w:val="left"/>
        </w:tabs>
        <w:rPr>
          <w:sz w:val="20"/>
          <w:szCs w:val="20"/>
          <w:color w:val="auto"/>
        </w:rPr>
      </w:pPr>
      <w:r>
        <w:rPr>
          <w:rFonts w:ascii="Times New Roman" w:cs="Times New Roman" w:eastAsia="Times New Roman" w:hAnsi="Times New Roman"/>
          <w:sz w:val="18"/>
          <w:szCs w:val="18"/>
          <w:color w:val="auto"/>
        </w:rPr>
        <w:t>104.1</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13855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0">
                      <a:extLst>
                        <a:ext uri="{28A0092B-C50C-407E-A947-70E740481C1C}"/>
                      </a:extLst>
                    </a:blip>
                    <a:srcRect/>
                    <a:stretch>
                      <a:fillRect/>
                    </a:stretch>
                  </pic:blipFill>
                  <pic:spPr bwMode="auto">
                    <a:xfrm>
                      <a:off x="0" y="0"/>
                      <a:ext cx="1385570" cy="8255"/>
                    </a:xfrm>
                    <a:prstGeom prst="rect">
                      <a:avLst/>
                    </a:prstGeom>
                    <a:noFill/>
                  </pic:spPr>
                </pic:pic>
              </a:graphicData>
            </a:graphic>
          </wp:anchor>
        </w:drawing>
      </w:r>
    </w:p>
    <w:p>
      <w:pPr>
        <w:spacing w:after="0" w:line="239"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Management contract or compensatory plan.</w:t>
      </w:r>
    </w:p>
    <w:p>
      <w:pPr>
        <w:spacing w:after="0" w:line="200" w:lineRule="exact"/>
        <w:rPr>
          <w:sz w:val="20"/>
          <w:szCs w:val="20"/>
          <w:color w:val="auto"/>
        </w:rPr>
      </w:pPr>
    </w:p>
    <w:p>
      <w:pPr>
        <w:spacing w:after="0" w:line="34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Filed with</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Incorporated by Reference</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1080" w:type="dxa"/>
            <w:vAlign w:val="bottom"/>
            <w:gridSpan w:val="2"/>
            <w:vMerge w:val="restart"/>
          </w:tcPr>
          <w:p>
            <w:pPr>
              <w:jc w:val="center"/>
              <w:ind w:right="120"/>
              <w:spacing w:after="0" w:line="123" w:lineRule="exact"/>
              <w:rPr>
                <w:sz w:val="20"/>
                <w:szCs w:val="20"/>
                <w:color w:val="auto"/>
              </w:rPr>
            </w:pPr>
            <w:r>
              <w:rPr>
                <w:rFonts w:ascii="Times New Roman" w:cs="Times New Roman" w:eastAsia="Times New Roman" w:hAnsi="Times New Roman"/>
                <w:sz w:val="14"/>
                <w:szCs w:val="14"/>
                <w:b w:val="1"/>
                <w:bCs w:val="1"/>
                <w:color w:val="auto"/>
              </w:rPr>
              <w:t>this Form</w:t>
            </w: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1080" w:type="dxa"/>
            <w:vAlign w:val="bottom"/>
            <w:gridSpan w:val="2"/>
            <w:vMerge w:val="continue"/>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10-K</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Form</w:t>
            </w:r>
          </w:p>
        </w:tc>
        <w:tc>
          <w:tcPr>
            <w:tcW w:w="10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0" w:type="dxa"/>
            <w:vAlign w:val="bottom"/>
          </w:tcPr>
          <w:p>
            <w:pPr>
              <w:spacing w:after="0"/>
              <w:rPr>
                <w:sz w:val="1"/>
                <w:szCs w:val="1"/>
                <w:color w:val="auto"/>
              </w:rPr>
            </w:pPr>
          </w:p>
        </w:tc>
      </w:tr>
      <w:tr>
        <w:trPr>
          <w:trHeight w:val="406"/>
        </w:trPr>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August 9, 2022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578"/>
        </w:trPr>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December 6, 2022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407"/>
        </w:trPr>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August 9, 2022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407"/>
        </w:trPr>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August 9, 2022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407"/>
        </w:trPr>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August 9, 2022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749"/>
        </w:trPr>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February 3, 2023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3"/>
        </w:trPr>
        <w:tc>
          <w:tcPr>
            <w:tcW w:w="1080" w:type="dxa"/>
            <w:vAlign w:val="bottom"/>
            <w:gridSpan w:val="2"/>
            <w:vMerge w:val="continue"/>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X</w:t>
      </w:r>
    </w:p>
    <w:p>
      <w:pPr>
        <w:spacing w:after="0" w:line="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X</w:t>
      </w:r>
    </w:p>
    <w:p>
      <w:pPr>
        <w:spacing w:after="0" w:line="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X</w:t>
      </w:r>
    </w:p>
    <w:p>
      <w:pPr>
        <w:spacing w:after="0" w:line="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X</w:t>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X</w:t>
      </w:r>
    </w:p>
    <w:p>
      <w:pPr>
        <w:spacing w:after="0" w:line="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X</w:t>
      </w:r>
    </w:p>
    <w:p>
      <w:pPr>
        <w:spacing w:after="0" w:line="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5980" w:space="120"/>
            <w:col w:w="5120"/>
          </w:cols>
          <w:pgMar w:left="320" w:top="121" w:right="35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6"/>
          <w:szCs w:val="16"/>
          <w:b w:val="1"/>
          <w:bCs w:val="1"/>
          <w:color w:val="auto"/>
        </w:rPr>
        <w:t>Form 10-K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15240</wp:posOffset>
            </wp:positionV>
            <wp:extent cx="70859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2">
                      <a:extLst>
                        <a:ext uri="{28A0092B-C50C-407E-A947-70E740481C1C}"/>
                      </a:extLst>
                    </a:blip>
                    <a:srcRect/>
                    <a:stretch>
                      <a:fillRect/>
                    </a:stretch>
                  </pic:blipFill>
                  <pic:spPr bwMode="auto">
                    <a:xfrm>
                      <a:off x="0" y="0"/>
                      <a:ext cx="7085965" cy="8255"/>
                    </a:xfrm>
                    <a:prstGeom prst="rect">
                      <a:avLst/>
                    </a:prstGeom>
                    <a:noFill/>
                  </pic:spPr>
                </pic:pic>
              </a:graphicData>
            </a:graphic>
          </wp:anchor>
        </w:drawing>
      </w:r>
    </w:p>
    <w:p>
      <w:pPr>
        <w:spacing w:after="0" w:line="3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SIGNATURES</w:t>
      </w:r>
    </w:p>
    <w:p>
      <w:pPr>
        <w:spacing w:after="0" w:line="245" w:lineRule="exact"/>
        <w:rPr>
          <w:sz w:val="20"/>
          <w:szCs w:val="20"/>
          <w:color w:val="auto"/>
        </w:rPr>
      </w:pPr>
    </w:p>
    <w:p>
      <w:pPr>
        <w:ind w:firstLine="43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13 or Section 15(d)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KVH Industries, Inc.</w:t>
      </w:r>
    </w:p>
    <w:p>
      <w:pPr>
        <w:spacing w:after="0" w:line="279" w:lineRule="exact"/>
        <w:rPr>
          <w:sz w:val="20"/>
          <w:szCs w:val="20"/>
          <w:color w:val="auto"/>
        </w:rPr>
      </w:pPr>
    </w:p>
    <w:p>
      <w:pPr>
        <w:ind w:left="460"/>
        <w:spacing w:after="0"/>
        <w:tabs>
          <w:tab w:leader="none" w:pos="6060" w:val="left"/>
          <w:tab w:leader="none" w:pos="6600" w:val="left"/>
          <w:tab w:leader="none" w:pos="6960" w:val="left"/>
        </w:tabs>
        <w:rPr>
          <w:sz w:val="20"/>
          <w:szCs w:val="20"/>
          <w:color w:val="auto"/>
        </w:rPr>
      </w:pPr>
      <w:r>
        <w:rPr>
          <w:rFonts w:ascii="Times New Roman" w:cs="Times New Roman" w:eastAsia="Times New Roman" w:hAnsi="Times New Roman"/>
          <w:sz w:val="18"/>
          <w:szCs w:val="18"/>
          <w:color w:val="auto"/>
        </w:rPr>
        <w:t>Date: March 15,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BRENT C. BRUUN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4192905</wp:posOffset>
            </wp:positionH>
            <wp:positionV relativeFrom="paragraph">
              <wp:posOffset>22225</wp:posOffset>
            </wp:positionV>
            <wp:extent cx="300799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3">
                      <a:extLst>
                        <a:ext uri="{28A0092B-C50C-407E-A947-70E740481C1C}"/>
                      </a:extLst>
                    </a:blip>
                    <a:srcRect/>
                    <a:stretch>
                      <a:fillRect/>
                    </a:stretch>
                  </pic:blipFill>
                  <pic:spPr bwMode="auto">
                    <a:xfrm>
                      <a:off x="0" y="0"/>
                      <a:ext cx="3007995" cy="8255"/>
                    </a:xfrm>
                    <a:prstGeom prst="rect">
                      <a:avLst/>
                    </a:prstGeom>
                    <a:noFill/>
                  </pic:spPr>
                </pic:pic>
              </a:graphicData>
            </a:graphic>
          </wp:anchor>
        </w:drawing>
      </w:r>
    </w:p>
    <w:p>
      <w:pPr>
        <w:spacing w:after="0" w:line="1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4"/>
          <w:szCs w:val="14"/>
          <w:b w:val="1"/>
          <w:bCs w:val="1"/>
          <w:color w:val="auto"/>
        </w:rPr>
        <w:t>Brent C. Bruun</w:t>
      </w:r>
    </w:p>
    <w:p>
      <w:pPr>
        <w:spacing w:after="0" w:line="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w:t>
      </w:r>
    </w:p>
    <w:p>
      <w:pPr>
        <w:spacing w:after="0" w:line="327"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in the capacities and on the dates indicated.</w:t>
      </w:r>
    </w:p>
    <w:p>
      <w:pPr>
        <w:sectPr>
          <w:pgSz w:w="11900" w:h="16838" w:orient="portrait"/>
          <w:cols w:equalWidth="0" w:num="1">
            <w:col w:w="11240"/>
          </w:cols>
          <w:pgMar w:left="320" w:top="121" w:right="339" w:bottom="1440" w:gutter="0" w:footer="0" w:header="0"/>
        </w:sectPr>
      </w:pPr>
    </w:p>
    <w:p>
      <w:pPr>
        <w:spacing w:after="0" w:line="7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b w:val="1"/>
          <w:bCs w:val="1"/>
          <w:u w:val="single" w:color="auto"/>
          <w:color w:val="auto"/>
        </w:rPr>
        <w:t>Name</w:t>
      </w:r>
    </w:p>
    <w:p>
      <w:pPr>
        <w:spacing w:after="0" w:line="1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BRENT C. BRUUN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13970</wp:posOffset>
            </wp:positionV>
            <wp:extent cx="25958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4">
                      <a:extLst>
                        <a:ext uri="{28A0092B-C50C-407E-A947-70E740481C1C}"/>
                      </a:extLst>
                    </a:blip>
                    <a:srcRect/>
                    <a:stretch>
                      <a:fillRect/>
                    </a:stretch>
                  </pic:blipFill>
                  <pic:spPr bwMode="auto">
                    <a:xfrm>
                      <a:off x="0" y="0"/>
                      <a:ext cx="2595880" cy="825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Brent C. Bruun</w:t>
      </w:r>
    </w:p>
    <w:p>
      <w:pPr>
        <w:spacing w:after="0" w:line="3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ROGER A. KUEBEL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13970</wp:posOffset>
            </wp:positionV>
            <wp:extent cx="25958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5">
                      <a:extLst>
                        <a:ext uri="{28A0092B-C50C-407E-A947-70E740481C1C}"/>
                      </a:extLst>
                    </a:blip>
                    <a:srcRect/>
                    <a:stretch>
                      <a:fillRect/>
                    </a:stretch>
                  </pic:blipFill>
                  <pic:spPr bwMode="auto">
                    <a:xfrm>
                      <a:off x="0" y="0"/>
                      <a:ext cx="2595880" cy="825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Roger A. Kuebel</w:t>
      </w:r>
    </w:p>
    <w:p>
      <w:pPr>
        <w:spacing w:after="0" w:line="3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DAVID M. TOLLEY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13970</wp:posOffset>
            </wp:positionV>
            <wp:extent cx="25958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6">
                      <a:extLst>
                        <a:ext uri="{28A0092B-C50C-407E-A947-70E740481C1C}"/>
                      </a:extLst>
                    </a:blip>
                    <a:srcRect/>
                    <a:stretch>
                      <a:fillRect/>
                    </a:stretch>
                  </pic:blipFill>
                  <pic:spPr bwMode="auto">
                    <a:xfrm>
                      <a:off x="0" y="0"/>
                      <a:ext cx="2595880" cy="825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David M. Tolley</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STEPHEN H. DECKOFF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13970</wp:posOffset>
            </wp:positionV>
            <wp:extent cx="25958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7">
                      <a:extLst>
                        <a:ext uri="{28A0092B-C50C-407E-A947-70E740481C1C}"/>
                      </a:extLst>
                    </a:blip>
                    <a:srcRect/>
                    <a:stretch>
                      <a:fillRect/>
                    </a:stretch>
                  </pic:blipFill>
                  <pic:spPr bwMode="auto">
                    <a:xfrm>
                      <a:off x="0" y="0"/>
                      <a:ext cx="2595880" cy="825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Stephen H. Deckoff</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CIELO M. HERNANDEZ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13970</wp:posOffset>
            </wp:positionV>
            <wp:extent cx="25958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8">
                      <a:extLst>
                        <a:ext uri="{28A0092B-C50C-407E-A947-70E740481C1C}"/>
                      </a:extLst>
                    </a:blip>
                    <a:srcRect/>
                    <a:stretch>
                      <a:fillRect/>
                    </a:stretch>
                  </pic:blipFill>
                  <pic:spPr bwMode="auto">
                    <a:xfrm>
                      <a:off x="0" y="0"/>
                      <a:ext cx="2595880" cy="825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Cielo M. Hernandez</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DAVID B. KAGAN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13970</wp:posOffset>
            </wp:positionV>
            <wp:extent cx="25958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9">
                      <a:extLst>
                        <a:ext uri="{28A0092B-C50C-407E-A947-70E740481C1C}"/>
                      </a:extLst>
                    </a:blip>
                    <a:srcRect/>
                    <a:stretch>
                      <a:fillRect/>
                    </a:stretch>
                  </pic:blipFill>
                  <pic:spPr bwMode="auto">
                    <a:xfrm>
                      <a:off x="0" y="0"/>
                      <a:ext cx="2595880" cy="825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David B. Kagan</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 CATHY-ANN MARTINE-DOLECKI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28575</wp:posOffset>
            </wp:positionV>
            <wp:extent cx="25958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0">
                      <a:extLst>
                        <a:ext uri="{28A0092B-C50C-407E-A947-70E740481C1C}"/>
                      </a:extLst>
                    </a:blip>
                    <a:srcRect/>
                    <a:stretch>
                      <a:fillRect/>
                    </a:stretch>
                  </pic:blipFill>
                  <pic:spPr bwMode="auto">
                    <a:xfrm>
                      <a:off x="0" y="0"/>
                      <a:ext cx="2595880" cy="8255"/>
                    </a:xfrm>
                    <a:prstGeom prst="rect">
                      <a:avLst/>
                    </a:prstGeom>
                    <a:noFill/>
                  </pic:spPr>
                </pic:pic>
              </a:graphicData>
            </a:graphic>
          </wp:anchor>
        </w:drawing>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Cathy-Ann Martine-Dolecki</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CHARLES R. TRIMBLE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13970</wp:posOffset>
            </wp:positionV>
            <wp:extent cx="25958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1">
                      <a:extLst>
                        <a:ext uri="{28A0092B-C50C-407E-A947-70E740481C1C}"/>
                      </a:extLst>
                    </a:blip>
                    <a:srcRect/>
                    <a:stretch>
                      <a:fillRect/>
                    </a:stretch>
                  </pic:blipFill>
                  <pic:spPr bwMode="auto">
                    <a:xfrm>
                      <a:off x="0" y="0"/>
                      <a:ext cx="2595880" cy="825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Charles R. Trimble</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3"/>
                <w:szCs w:val="13"/>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94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2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6"/>
        </w:trPr>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 (Principal Executive</w:t>
            </w: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4"/>
              </w:rPr>
              <w:t>March 15, 2024</w:t>
            </w:r>
          </w:p>
        </w:tc>
      </w:tr>
      <w:tr>
        <w:trPr>
          <w:trHeight w:val="228"/>
        </w:trPr>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Officer)</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508"/>
        </w:trPr>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 and Principal</w:t>
            </w: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4"/>
              </w:rPr>
              <w:t>March 15, 2024</w:t>
            </w:r>
          </w:p>
        </w:tc>
      </w:tr>
      <w:tr>
        <w:trPr>
          <w:trHeight w:val="228"/>
        </w:trPr>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Accounting Officer)</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613"/>
        </w:trPr>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4"/>
              </w:rPr>
              <w:t>March 15, 2024</w:t>
            </w:r>
          </w:p>
        </w:tc>
      </w:tr>
      <w:tr>
        <w:trPr>
          <w:trHeight w:val="697"/>
        </w:trPr>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4"/>
              </w:rPr>
              <w:t>March 15, 2024</w:t>
            </w:r>
          </w:p>
        </w:tc>
      </w:tr>
      <w:tr>
        <w:trPr>
          <w:trHeight w:val="697"/>
        </w:trPr>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4"/>
              </w:rPr>
              <w:t>March 15, 2024</w:t>
            </w:r>
          </w:p>
        </w:tc>
      </w:tr>
      <w:tr>
        <w:trPr>
          <w:trHeight w:val="697"/>
        </w:trPr>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4"/>
              </w:rPr>
              <w:t>March 15, 2024</w:t>
            </w:r>
          </w:p>
        </w:tc>
      </w:tr>
      <w:tr>
        <w:trPr>
          <w:trHeight w:val="697"/>
        </w:trPr>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4"/>
              </w:rPr>
              <w:t>March 15, 2024</w:t>
            </w:r>
          </w:p>
        </w:tc>
      </w:tr>
      <w:tr>
        <w:trPr>
          <w:trHeight w:val="697"/>
        </w:trPr>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4"/>
              </w:rPr>
              <w:t>March 15, 2024</w:t>
            </w:r>
          </w:p>
        </w:tc>
      </w:tr>
    </w:tbl>
    <w:p>
      <w:pPr>
        <w:spacing w:after="0" w:line="365" w:lineRule="exact"/>
        <w:rPr>
          <w:sz w:val="20"/>
          <w:szCs w:val="20"/>
          <w:color w:val="auto"/>
        </w:rPr>
      </w:pPr>
    </w:p>
    <w:p>
      <w:pPr>
        <w:sectPr>
          <w:pgSz w:w="11900" w:h="16838" w:orient="portrait"/>
          <w:cols w:equalWidth="0" w:num="2">
            <w:col w:w="3500" w:space="720"/>
            <w:col w:w="7020"/>
          </w:cols>
          <w:pgMar w:left="320" w:top="121" w:right="339" w:bottom="1440" w:gutter="0" w:footer="0" w:header="0"/>
          <w:type w:val="continuous"/>
        </w:sect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Report of Independent Registered Public Accounting Firm</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rPr>
          <w:sz w:val="20"/>
          <w:szCs w:val="20"/>
          <w:color w:val="auto"/>
        </w:rPr>
      </w:pPr>
      <w:r>
        <w:rPr>
          <w:rFonts w:ascii="Times New Roman" w:cs="Times New Roman" w:eastAsia="Times New Roman" w:hAnsi="Times New Roman"/>
          <w:sz w:val="18"/>
          <w:szCs w:val="18"/>
          <w:color w:val="auto"/>
        </w:rPr>
        <w:t>KVH Industries, Inc.</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KVH Industries, Inc. (a Delaware corporation) and subsidiaries (the “Company”) as of December 31, 2023 and 2022, the related consolidated statements of operations, comprehensive income (loss), stockholders’ equity,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spacing w:after="0" w:line="21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 xml:space="preserve">We also have audited, in accordance with the standards of the Public Company Accounting Oversight Board (United States) (“PCAOB”), the Company’s internal control over financial reporting as of December 31, 2023, based on criteria established in the 2013 </w:t>
      </w:r>
      <w:r>
        <w:rPr>
          <w:rFonts w:ascii="Times New Roman" w:cs="Times New Roman" w:eastAsia="Times New Roman" w:hAnsi="Times New Roman"/>
          <w:sz w:val="16"/>
          <w:szCs w:val="16"/>
          <w:i w:val="1"/>
          <w:iCs w:val="1"/>
          <w:color w:val="auto"/>
        </w:rPr>
        <w:t>Internal Control—Integrated Framework</w:t>
      </w:r>
      <w:r>
        <w:rPr>
          <w:rFonts w:ascii="Times New Roman" w:cs="Times New Roman" w:eastAsia="Times New Roman" w:hAnsi="Times New Roman"/>
          <w:sz w:val="16"/>
          <w:szCs w:val="16"/>
          <w:color w:val="auto"/>
        </w:rPr>
        <w:t xml:space="preserve"> issued by the Committee of Sponsoring Organizations of the Treadway Commission (“COSO”), and our report dated March 15, 2024 expressed an unqualified opinion.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80"/>
        <w:spacing w:after="0" w:line="303"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42"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analysis for the mobile broadband asset group</w:t>
      </w:r>
    </w:p>
    <w:p>
      <w:pPr>
        <w:spacing w:after="0" w:line="242"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As described further in notes 1 and 8 to the financial statements, long-lived assets, which include finite-lived intangible assets and property and equipment, are reviewed for impairment whenever events or changes in circumstances indicate that the carrying amount of an asset or asset group may not be recoverable. In the third quarter of 2023, management identified indicators of potential impairment of its mobile broadband (MBB) asset group. As a result, management performed an impairment analysis for its MBB asset group and concluded that the carrying value of the MBB asset group can be recovered through the future undiscounted cash flows expected from the use and eventual disposition of the asset group. We identified the impairment analysis for the MBB asset group as a critical audit matter.</w:t>
      </w:r>
    </w:p>
    <w:p>
      <w:pPr>
        <w:spacing w:after="0" w:line="215"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8"/>
          <w:szCs w:val="18"/>
          <w:color w:val="auto"/>
        </w:rPr>
        <w:t>The principal consideration for our determination that the impairment analysis for the MBB asset group is a critical audit matter is that the analysis requires management to use significant inputs and assumptions in developing the MBB asset group’s future undiscounted cash flows, including but not limited to revenue growth rates, cost projections, and disposition values of assets within the asset group. Evaluating the reasonableness of these inputs and assumptions requires significant auditor judgment.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impairment analysis for the MBB asset group included the following, among others:</w:t>
      </w:r>
    </w:p>
    <w:p>
      <w:pPr>
        <w:spacing w:after="0" w:line="240" w:lineRule="exact"/>
        <w:rPr>
          <w:sz w:val="20"/>
          <w:szCs w:val="20"/>
          <w:color w:val="auto"/>
        </w:rPr>
      </w:pPr>
    </w:p>
    <w:p>
      <w:pPr>
        <w:ind w:left="640" w:right="80" w:hanging="319"/>
        <w:spacing w:after="0" w:line="268" w:lineRule="auto"/>
        <w:tabs>
          <w:tab w:leader="none" w:pos="6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operating effectiveness of relevant controls, including controls over management’s identification of indicators of impairment and determination of inputs and assumptions used to develop the asset group’s future undiscounted cash flows.</w:t>
      </w:r>
    </w:p>
    <w:p>
      <w:pPr>
        <w:spacing w:after="0" w:line="194"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the inputs and assumptions used to develop the asset group’s future undiscounted cash flows by comparing them to historical amounts, and industry and economic trends and by tracing them to underlying source information.</w:t>
      </w:r>
    </w:p>
    <w:p>
      <w:pPr>
        <w:spacing w:after="0" w:line="19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sensitivity analyses around the inputs and assumptions underlying management’s impairment analysis.</w:t>
      </w:r>
    </w:p>
    <w:p>
      <w:pPr>
        <w:spacing w:after="0" w:line="239" w:lineRule="exact"/>
        <w:rPr>
          <w:rFonts w:ascii="Times New Roman" w:cs="Times New Roman" w:eastAsia="Times New Roman" w:hAnsi="Times New Roman"/>
          <w:sz w:val="18"/>
          <w:szCs w:val="18"/>
          <w:color w:val="auto"/>
        </w:rPr>
      </w:pPr>
    </w:p>
    <w:p>
      <w:pPr>
        <w:ind w:left="640" w:right="280" w:hanging="319"/>
        <w:spacing w:after="0" w:line="268" w:lineRule="auto"/>
        <w:tabs>
          <w:tab w:leader="none" w:pos="6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involved valuation professionals, with specialized skills and knowledge, to assist in assessing the reasonableness of the undiscounted cash flow model used in the impairment analysis.</w:t>
      </w: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1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Hartford, Connecticut</w:t>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15, 2024</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KVH INDUSTRIES,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4"/>
          </w:tcPr>
          <w:p>
            <w:pPr>
              <w:jc w:val="right"/>
              <w:ind w:right="1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4"/>
        </w:trPr>
        <w:tc>
          <w:tcPr>
            <w:tcW w:w="8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0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2022 (revised)</w:t>
            </w:r>
          </w:p>
        </w:tc>
        <w:tc>
          <w:tcPr>
            <w:tcW w:w="0" w:type="dxa"/>
            <w:vAlign w:val="bottom"/>
          </w:tcPr>
          <w:p>
            <w:pPr>
              <w:spacing w:after="0"/>
              <w:rPr>
                <w:sz w:val="1"/>
                <w:szCs w:val="1"/>
                <w:color w:val="auto"/>
              </w:rPr>
            </w:pPr>
          </w:p>
        </w:tc>
      </w:tr>
      <w:tr>
        <w:trPr>
          <w:trHeight w:val="183"/>
        </w:trPr>
        <w:tc>
          <w:tcPr>
            <w:tcW w:w="8060" w:type="dxa"/>
            <w:vAlign w:val="bottom"/>
            <w:shd w:val="clear" w:color="auto" w:fill="CCEEFF"/>
          </w:tcPr>
          <w:p>
            <w:pPr>
              <w:ind w:left="37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21,056</w:t>
            </w:r>
          </w:p>
        </w:tc>
        <w:tc>
          <w:tcPr>
            <w:tcW w:w="0" w:type="dxa"/>
            <w:vAlign w:val="bottom"/>
          </w:tcPr>
          <w:p>
            <w:pPr>
              <w:spacing w:after="0"/>
              <w:rPr>
                <w:sz w:val="1"/>
                <w:szCs w:val="1"/>
                <w:color w:val="auto"/>
              </w:rPr>
            </w:pPr>
          </w:p>
        </w:tc>
      </w:tr>
      <w:tr>
        <w:trPr>
          <w:trHeight w:val="190"/>
        </w:trPr>
        <w:tc>
          <w:tcPr>
            <w:tcW w:w="8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Marketable securities</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58,477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55,680</w:t>
            </w:r>
          </w:p>
        </w:tc>
        <w:tc>
          <w:tcPr>
            <w:tcW w:w="0" w:type="dxa"/>
            <w:vAlign w:val="bottom"/>
          </w:tcPr>
          <w:p>
            <w:pPr>
              <w:spacing w:after="0"/>
              <w:rPr>
                <w:sz w:val="1"/>
                <w:szCs w:val="1"/>
                <w:color w:val="auto"/>
              </w:rPr>
            </w:pPr>
          </w:p>
        </w:tc>
      </w:tr>
      <w:tr>
        <w:trPr>
          <w:trHeight w:val="139"/>
        </w:trPr>
        <w:tc>
          <w:tcPr>
            <w:tcW w:w="8060" w:type="dxa"/>
            <w:vAlign w:val="bottom"/>
            <w:shd w:val="clear" w:color="auto" w:fill="CCEEFF"/>
          </w:tcPr>
          <w:p>
            <w:pPr>
              <w:ind w:left="340"/>
              <w:spacing w:after="0" w:line="139" w:lineRule="exact"/>
              <w:rPr>
                <w:sz w:val="20"/>
                <w:szCs w:val="20"/>
                <w:color w:val="auto"/>
              </w:rPr>
            </w:pPr>
            <w:r>
              <w:rPr>
                <w:rFonts w:ascii="Times New Roman" w:cs="Times New Roman" w:eastAsia="Times New Roman" w:hAnsi="Times New Roman"/>
                <w:sz w:val="14"/>
                <w:szCs w:val="14"/>
                <w:color w:val="auto"/>
              </w:rPr>
              <w:t>Accounts receivable, net of allowance for credit losses of $1,168 and $1,268 as of December 31, 2023 &amp; December 31, 2022,</w:t>
            </w:r>
          </w:p>
        </w:tc>
        <w:tc>
          <w:tcPr>
            <w:tcW w:w="36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25,670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27,427</w:t>
            </w:r>
          </w:p>
        </w:tc>
        <w:tc>
          <w:tcPr>
            <w:tcW w:w="0" w:type="dxa"/>
            <w:vAlign w:val="bottom"/>
          </w:tcPr>
          <w:p>
            <w:pPr>
              <w:spacing w:after="0"/>
              <w:rPr>
                <w:sz w:val="1"/>
                <w:szCs w:val="1"/>
                <w:color w:val="auto"/>
              </w:rPr>
            </w:pPr>
          </w:p>
        </w:tc>
      </w:tr>
      <w:tr>
        <w:trPr>
          <w:trHeight w:val="197"/>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respectively</w:t>
            </w:r>
          </w:p>
        </w:tc>
        <w:tc>
          <w:tcPr>
            <w:tcW w:w="36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Inventories</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19,046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22,730</w:t>
            </w:r>
          </w:p>
        </w:tc>
        <w:tc>
          <w:tcPr>
            <w:tcW w:w="0" w:type="dxa"/>
            <w:vAlign w:val="bottom"/>
          </w:tcPr>
          <w:p>
            <w:pPr>
              <w:spacing w:after="0"/>
              <w:rPr>
                <w:sz w:val="1"/>
                <w:szCs w:val="1"/>
                <w:color w:val="auto"/>
              </w:rPr>
            </w:pPr>
          </w:p>
        </w:tc>
      </w:tr>
      <w:tr>
        <w:trPr>
          <w:trHeight w:val="204"/>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3,067</w:t>
            </w:r>
          </w:p>
        </w:tc>
        <w:tc>
          <w:tcPr>
            <w:tcW w:w="0" w:type="dxa"/>
            <w:vAlign w:val="bottom"/>
          </w:tcPr>
          <w:p>
            <w:pPr>
              <w:spacing w:after="0"/>
              <w:rPr>
                <w:sz w:val="1"/>
                <w:szCs w:val="1"/>
                <w:color w:val="auto"/>
              </w:rPr>
            </w:pPr>
          </w:p>
        </w:tc>
      </w:tr>
      <w:tr>
        <w:trPr>
          <w:trHeight w:val="183"/>
        </w:trPr>
        <w:tc>
          <w:tcPr>
            <w:tcW w:w="80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4"/>
                <w:szCs w:val="14"/>
                <w:color w:val="auto"/>
              </w:rPr>
              <w:t>Total current assets</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118,818</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129,960</w:t>
            </w:r>
          </w:p>
        </w:tc>
        <w:tc>
          <w:tcPr>
            <w:tcW w:w="0" w:type="dxa"/>
            <w:vAlign w:val="bottom"/>
          </w:tcPr>
          <w:p>
            <w:pPr>
              <w:spacing w:after="0"/>
              <w:rPr>
                <w:sz w:val="1"/>
                <w:szCs w:val="1"/>
                <w:color w:val="auto"/>
              </w:rPr>
            </w:pPr>
          </w:p>
        </w:tc>
      </w:tr>
      <w:tr>
        <w:trPr>
          <w:trHeight w:val="197"/>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47,680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53,118</w:t>
            </w:r>
          </w:p>
        </w:tc>
        <w:tc>
          <w:tcPr>
            <w:tcW w:w="0" w:type="dxa"/>
            <w:vAlign w:val="bottom"/>
          </w:tcPr>
          <w:p>
            <w:pPr>
              <w:spacing w:after="0"/>
              <w:rPr>
                <w:sz w:val="1"/>
                <w:szCs w:val="1"/>
                <w:color w:val="auto"/>
              </w:rPr>
            </w:pPr>
          </w:p>
        </w:tc>
      </w:tr>
      <w:tr>
        <w:trPr>
          <w:trHeight w:val="190"/>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0" w:type="dxa"/>
            <w:vAlign w:val="bottom"/>
          </w:tcPr>
          <w:p>
            <w:pPr>
              <w:spacing w:after="0"/>
              <w:rPr>
                <w:sz w:val="1"/>
                <w:szCs w:val="1"/>
                <w:color w:val="auto"/>
              </w:rPr>
            </w:pPr>
          </w:p>
        </w:tc>
      </w:tr>
      <w:tr>
        <w:trPr>
          <w:trHeight w:val="204"/>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3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5,308</w:t>
            </w:r>
          </w:p>
        </w:tc>
        <w:tc>
          <w:tcPr>
            <w:tcW w:w="0" w:type="dxa"/>
            <w:vAlign w:val="bottom"/>
          </w:tcPr>
          <w:p>
            <w:pPr>
              <w:spacing w:after="0"/>
              <w:rPr>
                <w:sz w:val="1"/>
                <w:szCs w:val="1"/>
                <w:color w:val="auto"/>
              </w:rPr>
            </w:pPr>
          </w:p>
        </w:tc>
      </w:tr>
      <w:tr>
        <w:trPr>
          <w:trHeight w:val="190"/>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 of use assets</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2,168</w:t>
            </w:r>
          </w:p>
        </w:tc>
        <w:tc>
          <w:tcPr>
            <w:tcW w:w="0" w:type="dxa"/>
            <w:vAlign w:val="bottom"/>
          </w:tcPr>
          <w:p>
            <w:pPr>
              <w:spacing w:after="0"/>
              <w:rPr>
                <w:sz w:val="1"/>
                <w:szCs w:val="1"/>
                <w:color w:val="auto"/>
              </w:rPr>
            </w:pPr>
          </w:p>
        </w:tc>
      </w:tr>
      <w:tr>
        <w:trPr>
          <w:trHeight w:val="204"/>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5,037</w:t>
            </w:r>
          </w:p>
        </w:tc>
        <w:tc>
          <w:tcPr>
            <w:tcW w:w="0" w:type="dxa"/>
            <w:vAlign w:val="bottom"/>
          </w:tcPr>
          <w:p>
            <w:pPr>
              <w:spacing w:after="0"/>
              <w:rPr>
                <w:sz w:val="1"/>
                <w:szCs w:val="1"/>
                <w:color w:val="auto"/>
              </w:rPr>
            </w:pPr>
          </w:p>
        </w:tc>
      </w:tr>
      <w:tr>
        <w:trPr>
          <w:trHeight w:val="19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Deferred income tax asset</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0" w:type="dxa"/>
            <w:vAlign w:val="bottom"/>
          </w:tcPr>
          <w:p>
            <w:pPr>
              <w:spacing w:after="0"/>
              <w:rPr>
                <w:sz w:val="1"/>
                <w:szCs w:val="1"/>
                <w:color w:val="auto"/>
              </w:rPr>
            </w:pPr>
          </w:p>
        </w:tc>
      </w:tr>
      <w:tr>
        <w:trPr>
          <w:trHeight w:val="222"/>
        </w:trPr>
        <w:tc>
          <w:tcPr>
            <w:tcW w:w="80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172,634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196,254</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5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80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4,780</w:t>
            </w:r>
          </w:p>
        </w:tc>
        <w:tc>
          <w:tcPr>
            <w:tcW w:w="10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20,449</w:t>
            </w:r>
          </w:p>
        </w:tc>
        <w:tc>
          <w:tcPr>
            <w:tcW w:w="0" w:type="dxa"/>
            <w:vAlign w:val="bottom"/>
          </w:tcPr>
          <w:p>
            <w:pPr>
              <w:spacing w:after="0"/>
              <w:rPr>
                <w:sz w:val="1"/>
                <w:szCs w:val="1"/>
                <w:color w:val="auto"/>
              </w:rPr>
            </w:pPr>
          </w:p>
        </w:tc>
      </w:tr>
      <w:tr>
        <w:trPr>
          <w:trHeight w:val="204"/>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airtime</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2,108</w:t>
            </w:r>
          </w:p>
        </w:tc>
        <w:tc>
          <w:tcPr>
            <w:tcW w:w="0" w:type="dxa"/>
            <w:vAlign w:val="bottom"/>
          </w:tcPr>
          <w:p>
            <w:pPr>
              <w:spacing w:after="0"/>
              <w:rPr>
                <w:sz w:val="1"/>
                <w:szCs w:val="1"/>
                <w:color w:val="auto"/>
              </w:rPr>
            </w:pPr>
          </w:p>
        </w:tc>
      </w:tr>
      <w:tr>
        <w:trPr>
          <w:trHeight w:val="190"/>
        </w:trPr>
        <w:tc>
          <w:tcPr>
            <w:tcW w:w="8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Accrued compensation and employee-related expenses</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7,621</w:t>
            </w:r>
          </w:p>
        </w:tc>
        <w:tc>
          <w:tcPr>
            <w:tcW w:w="0" w:type="dxa"/>
            <w:vAlign w:val="bottom"/>
          </w:tcPr>
          <w:p>
            <w:pPr>
              <w:spacing w:after="0"/>
              <w:rPr>
                <w:sz w:val="1"/>
                <w:szCs w:val="1"/>
                <w:color w:val="auto"/>
              </w:rPr>
            </w:pPr>
          </w:p>
        </w:tc>
      </w:tr>
      <w:tr>
        <w:trPr>
          <w:trHeight w:val="204"/>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loss on future firm purchase commitments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8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Accrued other</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2,126</w:t>
            </w:r>
          </w:p>
        </w:tc>
        <w:tc>
          <w:tcPr>
            <w:tcW w:w="0" w:type="dxa"/>
            <w:vAlign w:val="bottom"/>
          </w:tcPr>
          <w:p>
            <w:pPr>
              <w:spacing w:after="0"/>
              <w:rPr>
                <w:sz w:val="1"/>
                <w:szCs w:val="1"/>
                <w:color w:val="auto"/>
              </w:rPr>
            </w:pPr>
          </w:p>
        </w:tc>
      </w:tr>
      <w:tr>
        <w:trPr>
          <w:trHeight w:val="204"/>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product warranty costs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w:t>
            </w:r>
          </w:p>
        </w:tc>
        <w:tc>
          <w:tcPr>
            <w:tcW w:w="0" w:type="dxa"/>
            <w:vAlign w:val="bottom"/>
          </w:tcPr>
          <w:p>
            <w:pPr>
              <w:spacing w:after="0"/>
              <w:rPr>
                <w:sz w:val="1"/>
                <w:szCs w:val="1"/>
                <w:color w:val="auto"/>
              </w:rPr>
            </w:pPr>
          </w:p>
        </w:tc>
      </w:tr>
      <w:tr>
        <w:trPr>
          <w:trHeight w:val="190"/>
        </w:trPr>
        <w:tc>
          <w:tcPr>
            <w:tcW w:w="8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Deferred revenue</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w:t>
            </w:r>
          </w:p>
        </w:tc>
        <w:tc>
          <w:tcPr>
            <w:tcW w:w="0" w:type="dxa"/>
            <w:vAlign w:val="bottom"/>
          </w:tcPr>
          <w:p>
            <w:pPr>
              <w:spacing w:after="0"/>
              <w:rPr>
                <w:sz w:val="1"/>
                <w:szCs w:val="1"/>
                <w:color w:val="auto"/>
              </w:rPr>
            </w:pPr>
          </w:p>
        </w:tc>
      </w:tr>
      <w:tr>
        <w:trPr>
          <w:trHeight w:val="204"/>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Current operating lease liability</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1,532</w:t>
            </w:r>
          </w:p>
        </w:tc>
        <w:tc>
          <w:tcPr>
            <w:tcW w:w="0" w:type="dxa"/>
            <w:vAlign w:val="bottom"/>
          </w:tcPr>
          <w:p>
            <w:pPr>
              <w:spacing w:after="0"/>
              <w:rPr>
                <w:sz w:val="1"/>
                <w:szCs w:val="1"/>
                <w:color w:val="auto"/>
              </w:rPr>
            </w:pPr>
          </w:p>
        </w:tc>
      </w:tr>
      <w:tr>
        <w:trPr>
          <w:trHeight w:val="190"/>
        </w:trPr>
        <w:tc>
          <w:tcPr>
            <w:tcW w:w="8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Liability for uncertain tax positions</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0" w:type="dxa"/>
            <w:vAlign w:val="bottom"/>
          </w:tcPr>
          <w:p>
            <w:pPr>
              <w:spacing w:after="0"/>
              <w:rPr>
                <w:sz w:val="1"/>
                <w:szCs w:val="1"/>
                <w:color w:val="auto"/>
              </w:rPr>
            </w:pPr>
          </w:p>
        </w:tc>
      </w:tr>
      <w:tr>
        <w:trPr>
          <w:trHeight w:val="197"/>
        </w:trPr>
        <w:tc>
          <w:tcPr>
            <w:tcW w:w="80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24,972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37,125</w:t>
            </w:r>
          </w:p>
        </w:tc>
        <w:tc>
          <w:tcPr>
            <w:tcW w:w="0" w:type="dxa"/>
            <w:vAlign w:val="bottom"/>
          </w:tcPr>
          <w:p>
            <w:pPr>
              <w:spacing w:after="0"/>
              <w:rPr>
                <w:sz w:val="1"/>
                <w:szCs w:val="1"/>
                <w:color w:val="auto"/>
              </w:rPr>
            </w:pPr>
          </w:p>
        </w:tc>
      </w:tr>
      <w:tr>
        <w:trPr>
          <w:trHeight w:val="183"/>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operating lease liability</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0" w:type="dxa"/>
            <w:vAlign w:val="bottom"/>
          </w:tcPr>
          <w:p>
            <w:pPr>
              <w:spacing w:after="0"/>
              <w:rPr>
                <w:sz w:val="1"/>
                <w:szCs w:val="1"/>
                <w:color w:val="auto"/>
              </w:rPr>
            </w:pPr>
          </w:p>
        </w:tc>
      </w:tr>
      <w:tr>
        <w:trPr>
          <w:trHeight w:val="204"/>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liability</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84"/>
        </w:trPr>
        <w:tc>
          <w:tcPr>
            <w:tcW w:w="80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25,262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37,816</w:t>
            </w:r>
          </w:p>
        </w:tc>
        <w:tc>
          <w:tcPr>
            <w:tcW w:w="0" w:type="dxa"/>
            <w:vAlign w:val="bottom"/>
          </w:tcPr>
          <w:p>
            <w:pPr>
              <w:spacing w:after="0"/>
              <w:rPr>
                <w:sz w:val="1"/>
                <w:szCs w:val="1"/>
                <w:color w:val="auto"/>
              </w:rPr>
            </w:pPr>
          </w:p>
        </w:tc>
      </w:tr>
      <w:tr>
        <w:trPr>
          <w:trHeight w:val="18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(Notes 1, 5, 12 and 13)</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Preferred stock, $0.01 par value. Authorized 1,000,000 shares; none issued</w:t>
            </w:r>
          </w:p>
        </w:tc>
        <w:tc>
          <w:tcPr>
            <w:tcW w:w="3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1"/>
        </w:trPr>
        <w:tc>
          <w:tcPr>
            <w:tcW w:w="8060" w:type="dxa"/>
            <w:vAlign w:val="bottom"/>
          </w:tcPr>
          <w:p>
            <w:pPr>
              <w:ind w:left="340"/>
              <w:spacing w:after="0" w:line="131" w:lineRule="exact"/>
              <w:rPr>
                <w:sz w:val="20"/>
                <w:szCs w:val="20"/>
                <w:color w:val="auto"/>
              </w:rPr>
            </w:pPr>
            <w:r>
              <w:rPr>
                <w:rFonts w:ascii="Times New Roman" w:cs="Times New Roman" w:eastAsia="Times New Roman" w:hAnsi="Times New Roman"/>
                <w:sz w:val="14"/>
                <w:szCs w:val="14"/>
                <w:color w:val="auto"/>
              </w:rPr>
              <w:t>Common stock, $0.01 par value. Authorized 30,000,000 shares, 21,066,899 and 20,631,152 shares issued at December 31, 2023 and</w:t>
            </w: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60" w:type="dxa"/>
            <w:vAlign w:val="bottom"/>
          </w:tcPr>
          <w:p>
            <w:pPr>
              <w:ind w:left="340"/>
              <w:spacing w:after="0" w:line="135" w:lineRule="exact"/>
              <w:rPr>
                <w:sz w:val="20"/>
                <w:szCs w:val="20"/>
                <w:color w:val="auto"/>
              </w:rPr>
            </w:pPr>
            <w:r>
              <w:rPr>
                <w:rFonts w:ascii="Times New Roman" w:cs="Times New Roman" w:eastAsia="Times New Roman" w:hAnsi="Times New Roman"/>
                <w:sz w:val="14"/>
                <w:szCs w:val="14"/>
                <w:color w:val="auto"/>
              </w:rPr>
              <w:t>December 31, 2022, respectively; and 19,610,790 and 19,198,458 shares outstanding at December 31, 2023 and December 31, 2022,</w:t>
            </w:r>
          </w:p>
        </w:tc>
        <w:tc>
          <w:tcPr>
            <w:tcW w:w="36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183"/>
        </w:trPr>
        <w:tc>
          <w:tcPr>
            <w:tcW w:w="8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respectively</w:t>
            </w:r>
          </w:p>
        </w:tc>
        <w:tc>
          <w:tcPr>
            <w:tcW w:w="3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165,140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160,475</w:t>
            </w:r>
          </w:p>
        </w:tc>
        <w:tc>
          <w:tcPr>
            <w:tcW w:w="0" w:type="dxa"/>
            <w:vAlign w:val="bottom"/>
          </w:tcPr>
          <w:p>
            <w:pPr>
              <w:spacing w:after="0"/>
              <w:rPr>
                <w:sz w:val="1"/>
                <w:szCs w:val="1"/>
                <w:color w:val="auto"/>
              </w:rPr>
            </w:pPr>
          </w:p>
        </w:tc>
      </w:tr>
      <w:tr>
        <w:trPr>
          <w:trHeight w:val="190"/>
        </w:trPr>
        <w:tc>
          <w:tcPr>
            <w:tcW w:w="8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(Accumulated deficit) retained earnings</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13,718</w:t>
            </w:r>
          </w:p>
        </w:tc>
        <w:tc>
          <w:tcPr>
            <w:tcW w:w="0" w:type="dxa"/>
            <w:vAlign w:val="bottom"/>
          </w:tcPr>
          <w:p>
            <w:pPr>
              <w:spacing w:after="0"/>
              <w:rPr>
                <w:sz w:val="1"/>
                <w:szCs w:val="1"/>
                <w:color w:val="auto"/>
              </w:rPr>
            </w:pPr>
          </w:p>
        </w:tc>
      </w:tr>
      <w:tr>
        <w:trPr>
          <w:trHeight w:val="197"/>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(4,110)</w:t>
            </w:r>
          </w:p>
        </w:tc>
        <w:tc>
          <w:tcPr>
            <w:tcW w:w="0" w:type="dxa"/>
            <w:vAlign w:val="bottom"/>
          </w:tcPr>
          <w:p>
            <w:pPr>
              <w:spacing w:after="0"/>
              <w:rPr>
                <w:sz w:val="1"/>
                <w:szCs w:val="1"/>
                <w:color w:val="auto"/>
              </w:rPr>
            </w:pPr>
          </w:p>
        </w:tc>
      </w:tr>
      <w:tr>
        <w:trPr>
          <w:trHeight w:val="190"/>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159,462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170,289</w:t>
            </w:r>
          </w:p>
        </w:tc>
        <w:tc>
          <w:tcPr>
            <w:tcW w:w="0" w:type="dxa"/>
            <w:vAlign w:val="bottom"/>
          </w:tcPr>
          <w:p>
            <w:pPr>
              <w:spacing w:after="0"/>
              <w:rPr>
                <w:sz w:val="1"/>
                <w:szCs w:val="1"/>
                <w:color w:val="auto"/>
              </w:rPr>
            </w:pPr>
          </w:p>
        </w:tc>
      </w:tr>
      <w:tr>
        <w:trPr>
          <w:trHeight w:val="139"/>
        </w:trPr>
        <w:tc>
          <w:tcPr>
            <w:tcW w:w="8060" w:type="dxa"/>
            <w:vAlign w:val="bottom"/>
            <w:shd w:val="clear" w:color="auto" w:fill="CCEEFF"/>
          </w:tcPr>
          <w:p>
            <w:pPr>
              <w:ind w:left="500"/>
              <w:spacing w:after="0" w:line="139" w:lineRule="exact"/>
              <w:rPr>
                <w:sz w:val="20"/>
                <w:szCs w:val="20"/>
                <w:color w:val="auto"/>
              </w:rPr>
            </w:pPr>
            <w:r>
              <w:rPr>
                <w:rFonts w:ascii="Times New Roman" w:cs="Times New Roman" w:eastAsia="Times New Roman" w:hAnsi="Times New Roman"/>
                <w:sz w:val="14"/>
                <w:szCs w:val="14"/>
                <w:color w:val="auto"/>
              </w:rPr>
              <w:t>Less: treasury stock at cost, common stock, 1,456,109 and 1,432,694 shares as of December 31, 2023 and December 31, 2022,</w:t>
            </w:r>
          </w:p>
        </w:tc>
        <w:tc>
          <w:tcPr>
            <w:tcW w:w="36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(11,851)</w:t>
            </w:r>
          </w:p>
        </w:tc>
        <w:tc>
          <w:tcPr>
            <w:tcW w:w="0" w:type="dxa"/>
            <w:vAlign w:val="bottom"/>
          </w:tcPr>
          <w:p>
            <w:pPr>
              <w:spacing w:after="0"/>
              <w:rPr>
                <w:sz w:val="1"/>
                <w:szCs w:val="1"/>
                <w:color w:val="auto"/>
              </w:rPr>
            </w:pPr>
          </w:p>
        </w:tc>
      </w:tr>
      <w:tr>
        <w:trPr>
          <w:trHeight w:val="197"/>
        </w:trPr>
        <w:tc>
          <w:tcPr>
            <w:tcW w:w="8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respectively</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0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147,372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158,438</w:t>
            </w:r>
          </w:p>
        </w:tc>
        <w:tc>
          <w:tcPr>
            <w:tcW w:w="0" w:type="dxa"/>
            <w:vAlign w:val="bottom"/>
          </w:tcPr>
          <w:p>
            <w:pPr>
              <w:spacing w:after="0"/>
              <w:rPr>
                <w:sz w:val="1"/>
                <w:szCs w:val="1"/>
                <w:color w:val="auto"/>
              </w:rPr>
            </w:pPr>
          </w:p>
        </w:tc>
      </w:tr>
      <w:tr>
        <w:trPr>
          <w:trHeight w:val="221"/>
        </w:trPr>
        <w:tc>
          <w:tcPr>
            <w:tcW w:w="80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172,634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196,254</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4"/>
        </w:trPr>
        <w:tc>
          <w:tcPr>
            <w:tcW w:w="8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4"/>
        </w:trPr>
        <w:tc>
          <w:tcPr>
            <w:tcW w:w="8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 (revised)</w:t>
            </w: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3"/>
        </w:trPr>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Product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17,757</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26,842</w:t>
            </w:r>
          </w:p>
        </w:tc>
      </w:tr>
      <w:tr>
        <w:trPr>
          <w:trHeight w:val="223"/>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Service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114,622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111,908</w:t>
            </w:r>
          </w:p>
        </w:tc>
      </w:tr>
      <w:tr>
        <w:trPr>
          <w:trHeight w:val="217"/>
        </w:trPr>
        <w:tc>
          <w:tcPr>
            <w:tcW w:w="8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138,750</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3"/>
        </w:trPr>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Costs of product sales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25,158</w:t>
            </w:r>
          </w:p>
        </w:tc>
      </w:tr>
      <w:tr>
        <w:trPr>
          <w:trHeight w:val="223"/>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Costs of service sales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61,094</w:t>
            </w:r>
          </w:p>
        </w:tc>
      </w:tr>
      <w:tr>
        <w:trPr>
          <w:trHeight w:val="223"/>
        </w:trPr>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10,369</w:t>
            </w:r>
          </w:p>
        </w:tc>
      </w:tr>
      <w:tr>
        <w:trPr>
          <w:trHeight w:val="223"/>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marketing and support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23,198</w:t>
            </w:r>
          </w:p>
        </w:tc>
      </w:tr>
      <w:tr>
        <w:trPr>
          <w:trHeight w:val="223"/>
        </w:trPr>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24,656</w:t>
            </w:r>
          </w:p>
        </w:tc>
      </w:tr>
      <w:tr>
        <w:trPr>
          <w:trHeight w:val="223"/>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 impairment charge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Long-lived assets impairment charge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8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149,724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144,475</w:t>
            </w:r>
          </w:p>
        </w:tc>
      </w:tr>
      <w:tr>
        <w:trPr>
          <w:trHeight w:val="217"/>
        </w:trPr>
        <w:tc>
          <w:tcPr>
            <w:tcW w:w="8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(5,725)</w:t>
            </w:r>
          </w:p>
        </w:tc>
      </w:tr>
      <w:tr>
        <w:trPr>
          <w:trHeight w:val="223"/>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r>
      <w:tr>
        <w:trPr>
          <w:trHeight w:val="223"/>
        </w:trPr>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17"/>
        </w:trPr>
        <w:tc>
          <w:tcPr>
            <w:tcW w:w="8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Loss from continuing operations before income tax expense</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from continuing operations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217"/>
        </w:trPr>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28,025</w:t>
            </w:r>
          </w:p>
        </w:tc>
      </w:tr>
      <w:tr>
        <w:trPr>
          <w:trHeight w:val="217"/>
        </w:trPr>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(15,422)</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24,030</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9"/>
        </w:trPr>
        <w:tc>
          <w:tcPr>
            <w:tcW w:w="8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from continuing operations per common share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48"/>
        </w:trPr>
        <w:tc>
          <w:tcPr>
            <w:tcW w:w="8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(0.21)</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96"/>
        </w:trPr>
        <w:tc>
          <w:tcPr>
            <w:tcW w:w="828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jc w:val="right"/>
              <w:ind w:right="152"/>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(0.81)</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2"/>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(0.21)</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0"/>
        </w:trPr>
        <w:tc>
          <w:tcPr>
            <w:tcW w:w="82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Net income from discontinued operations per common share</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23"/>
        </w:trPr>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6"/>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per common share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48"/>
        </w:trPr>
        <w:tc>
          <w:tcPr>
            <w:tcW w:w="8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96"/>
        </w:trPr>
        <w:tc>
          <w:tcPr>
            <w:tcW w:w="828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jc w:val="right"/>
              <w:ind w:right="152"/>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(0.81)</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2"/>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1.29</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9"/>
        </w:trPr>
        <w:tc>
          <w:tcPr>
            <w:tcW w:w="8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48"/>
        </w:trPr>
        <w:tc>
          <w:tcPr>
            <w:tcW w:w="8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18,632</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96"/>
        </w:trPr>
        <w:tc>
          <w:tcPr>
            <w:tcW w:w="828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19,130</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18,632</w:t>
            </w:r>
          </w:p>
        </w:tc>
      </w:tr>
      <w:tr>
        <w:trPr>
          <w:trHeight w:val="20"/>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748"/>
        </w:trPr>
        <w:tc>
          <w:tcPr>
            <w:tcW w:w="1240" w:type="dxa"/>
            <w:vAlign w:val="bottom"/>
            <w:tcBorders>
              <w:top w:val="single" w:sz="8" w:color="0000FF"/>
            </w:tcBorders>
          </w:tcPr>
          <w:p>
            <w:pPr>
              <w:spacing w:after="0"/>
              <w:rPr>
                <w:sz w:val="24"/>
                <w:szCs w:val="24"/>
                <w:color w:val="auto"/>
              </w:rPr>
            </w:pPr>
          </w:p>
        </w:tc>
        <w:tc>
          <w:tcPr>
            <w:tcW w:w="6740" w:type="dxa"/>
            <w:vAlign w:val="bottom"/>
          </w:tcPr>
          <w:p>
            <w:pPr>
              <w:jc w:val="center"/>
              <w:ind w:left="1932"/>
              <w:spacing w:after="0"/>
              <w:rPr>
                <w:sz w:val="20"/>
                <w:szCs w:val="20"/>
                <w:color w:val="auto"/>
              </w:rPr>
            </w:pPr>
            <w:r>
              <w:rPr>
                <w:rFonts w:ascii="Times New Roman" w:cs="Times New Roman" w:eastAsia="Times New Roman" w:hAnsi="Times New Roman"/>
                <w:sz w:val="18"/>
                <w:szCs w:val="18"/>
                <w:b w:val="1"/>
                <w:bCs w:val="1"/>
                <w:color w:val="auto"/>
                <w:w w:val="97"/>
              </w:rPr>
              <w:t>KVH INDUSTRIES, INC. AND SUBSIDIARIES</w:t>
            </w: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0"/>
        </w:trPr>
        <w:tc>
          <w:tcPr>
            <w:tcW w:w="1240" w:type="dxa"/>
            <w:vAlign w:val="bottom"/>
          </w:tcPr>
          <w:p>
            <w:pPr>
              <w:spacing w:after="0"/>
              <w:rPr>
                <w:sz w:val="18"/>
                <w:szCs w:val="18"/>
                <w:color w:val="auto"/>
              </w:rPr>
            </w:pPr>
          </w:p>
        </w:tc>
        <w:tc>
          <w:tcPr>
            <w:tcW w:w="7340" w:type="dxa"/>
            <w:vAlign w:val="bottom"/>
            <w:gridSpan w:val="2"/>
          </w:tcPr>
          <w:p>
            <w:pPr>
              <w:jc w:val="center"/>
              <w:ind w:left="1332"/>
              <w:spacing w:after="0"/>
              <w:rPr>
                <w:sz w:val="20"/>
                <w:szCs w:val="20"/>
                <w:color w:val="auto"/>
              </w:rPr>
            </w:pPr>
            <w:r>
              <w:rPr>
                <w:rFonts w:ascii="Times New Roman" w:cs="Times New Roman" w:eastAsia="Times New Roman" w:hAnsi="Times New Roman"/>
                <w:sz w:val="18"/>
                <w:szCs w:val="18"/>
                <w:b w:val="1"/>
                <w:bCs w:val="1"/>
                <w:color w:val="auto"/>
                <w:w w:val="96"/>
              </w:rPr>
              <w:t>CONSOLIDATED STATEMENTS OF COMPREHENSIVE (LOSS) INCOME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1240" w:type="dxa"/>
            <w:vAlign w:val="bottom"/>
          </w:tcPr>
          <w:p>
            <w:pPr>
              <w:spacing w:after="0"/>
              <w:rPr>
                <w:sz w:val="20"/>
                <w:szCs w:val="20"/>
                <w:color w:val="auto"/>
              </w:rPr>
            </w:pPr>
          </w:p>
        </w:tc>
        <w:tc>
          <w:tcPr>
            <w:tcW w:w="6740" w:type="dxa"/>
            <w:vAlign w:val="bottom"/>
          </w:tcPr>
          <w:p>
            <w:pPr>
              <w:jc w:val="center"/>
              <w:ind w:left="1952"/>
              <w:spacing w:after="0"/>
              <w:rPr>
                <w:sz w:val="20"/>
                <w:szCs w:val="20"/>
                <w:color w:val="auto"/>
              </w:rPr>
            </w:pPr>
            <w:r>
              <w:rPr>
                <w:rFonts w:ascii="Times New Roman" w:cs="Times New Roman" w:eastAsia="Times New Roman" w:hAnsi="Times New Roman"/>
                <w:sz w:val="18"/>
                <w:szCs w:val="18"/>
                <w:b w:val="1"/>
                <w:bCs w:val="1"/>
                <w:color w:val="auto"/>
                <w:w w:val="96"/>
              </w:rPr>
              <w:t>(in thousands)</w:t>
            </w: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21"/>
        </w:trPr>
        <w:tc>
          <w:tcPr>
            <w:tcW w:w="124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r>
      <w:tr>
        <w:trPr>
          <w:trHeight w:val="217"/>
        </w:trPr>
        <w:tc>
          <w:tcPr>
            <w:tcW w:w="1240" w:type="dxa"/>
            <w:vAlign w:val="bottom"/>
            <w:tcBorders>
              <w:bottom w:val="single" w:sz="8" w:color="CCEEFF"/>
            </w:tcBorders>
          </w:tcPr>
          <w:p>
            <w:pPr>
              <w:spacing w:after="0"/>
              <w:rPr>
                <w:sz w:val="18"/>
                <w:szCs w:val="18"/>
                <w:color w:val="auto"/>
              </w:rPr>
            </w:pPr>
          </w:p>
        </w:tc>
        <w:tc>
          <w:tcPr>
            <w:tcW w:w="67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2022 (revised)</w:t>
            </w:r>
          </w:p>
        </w:tc>
      </w:tr>
      <w:tr>
        <w:trPr>
          <w:trHeight w:val="217"/>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24,030</w:t>
            </w:r>
          </w:p>
        </w:tc>
      </w:tr>
      <w:tr>
        <w:trPr>
          <w:trHeight w:val="223"/>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net of tax:</w:t>
            </w: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3"/>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income (loss) on available-for-sale securities</w:t>
            </w: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7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17"/>
        </w:trPr>
        <w:tc>
          <w:tcPr>
            <w:tcW w:w="7980" w:type="dxa"/>
            <w:vAlign w:val="bottom"/>
            <w:gridSpan w:val="2"/>
            <w:shd w:val="clear" w:color="auto" w:fill="CCEEFF"/>
          </w:tcPr>
          <w:p>
            <w:pPr>
              <w:ind w:left="20"/>
              <w:spacing w:after="0" w:line="217" w:lineRule="exact"/>
              <w:rPr>
                <w:sz w:val="20"/>
                <w:szCs w:val="20"/>
                <w:color w:val="auto"/>
              </w:rPr>
            </w:pPr>
            <w:r>
              <w:rPr>
                <w:rFonts w:ascii="Times New Roman" w:cs="Times New Roman" w:eastAsia="Times New Roman" w:hAnsi="Times New Roman"/>
                <w:sz w:val="18"/>
                <w:szCs w:val="18"/>
                <w:color w:val="auto"/>
              </w:rPr>
              <w:t xml:space="preserve">Other comprehensive loss, net of tax </w:t>
            </w:r>
            <w:r>
              <w:rPr>
                <w:rFonts w:ascii="Times New Roman" w:cs="Times New Roman" w:eastAsia="Times New Roman" w:hAnsi="Times New Roman"/>
                <w:sz w:val="22"/>
                <w:szCs w:val="22"/>
                <w:color w:val="auto"/>
                <w:vertAlign w:val="superscript"/>
              </w:rPr>
              <w:t>(1)</w:t>
            </w:r>
          </w:p>
        </w:tc>
        <w:tc>
          <w:tcPr>
            <w:tcW w:w="6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17"/>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 income</w:t>
            </w:r>
          </w:p>
        </w:tc>
        <w:tc>
          <w:tcPr>
            <w:tcW w:w="6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23,329</w:t>
            </w:r>
          </w:p>
        </w:tc>
      </w:tr>
      <w:tr>
        <w:trPr>
          <w:trHeight w:val="20"/>
        </w:trPr>
        <w:tc>
          <w:tcPr>
            <w:tcW w:w="124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Tax impact was nominal for all periods.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KVH INDUSTRIES,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460" w:type="dxa"/>
            <w:vAlign w:val="bottom"/>
          </w:tcPr>
          <w:p>
            <w:pPr>
              <w:spacing w:after="0"/>
              <w:rPr>
                <w:sz w:val="13"/>
                <w:szCs w:val="13"/>
                <w:color w:val="auto"/>
              </w:rPr>
            </w:pPr>
          </w:p>
        </w:tc>
        <w:tc>
          <w:tcPr>
            <w:tcW w:w="1700" w:type="dxa"/>
            <w:vAlign w:val="bottom"/>
            <w:gridSpan w:val="3"/>
          </w:tcPr>
          <w:p>
            <w:pPr>
              <w:jc w:val="right"/>
              <w:ind w:right="232"/>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80" w:type="dxa"/>
            <w:vAlign w:val="bottom"/>
          </w:tcPr>
          <w:p>
            <w:pPr>
              <w:spacing w:after="0"/>
              <w:rPr>
                <w:sz w:val="13"/>
                <w:szCs w:val="13"/>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2000" w:type="dxa"/>
            <w:vAlign w:val="bottom"/>
            <w:gridSpan w:val="5"/>
          </w:tcPr>
          <w:p>
            <w:pPr>
              <w:ind w:left="54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40" w:type="dxa"/>
            <w:vAlign w:val="bottom"/>
          </w:tcPr>
          <w:p>
            <w:pPr>
              <w:spacing w:after="0"/>
              <w:rPr>
                <w:sz w:val="13"/>
                <w:szCs w:val="13"/>
                <w:color w:val="auto"/>
              </w:rPr>
            </w:pPr>
          </w:p>
        </w:tc>
        <w:tc>
          <w:tcPr>
            <w:tcW w:w="980" w:type="dxa"/>
            <w:vAlign w:val="bottom"/>
          </w:tcPr>
          <w:p>
            <w:pPr>
              <w:jc w:val="center"/>
              <w:ind w:right="73"/>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59"/>
        </w:trPr>
        <w:tc>
          <w:tcPr>
            <w:tcW w:w="246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tcPr>
          <w:p>
            <w:pPr>
              <w:jc w:val="center"/>
              <w:ind w:right="280"/>
              <w:spacing w:after="0" w:line="59" w:lineRule="exact"/>
              <w:rPr>
                <w:sz w:val="20"/>
                <w:szCs w:val="20"/>
                <w:color w:val="auto"/>
              </w:rPr>
            </w:pPr>
            <w:r>
              <w:rPr>
                <w:rFonts w:ascii="Times New Roman" w:cs="Times New Roman" w:eastAsia="Times New Roman" w:hAnsi="Times New Roman"/>
                <w:sz w:val="6"/>
                <w:szCs w:val="6"/>
                <w:b w:val="1"/>
                <w:bCs w:val="1"/>
                <w:color w:val="auto"/>
              </w:rPr>
              <w:t>Paid-in</w:t>
            </w:r>
          </w:p>
        </w:tc>
        <w:tc>
          <w:tcPr>
            <w:tcW w:w="80" w:type="dxa"/>
            <w:vAlign w:val="bottom"/>
          </w:tcPr>
          <w:p>
            <w:pPr>
              <w:spacing w:after="0"/>
              <w:rPr>
                <w:sz w:val="5"/>
                <w:szCs w:val="5"/>
                <w:color w:val="auto"/>
              </w:rPr>
            </w:pPr>
          </w:p>
        </w:tc>
        <w:tc>
          <w:tcPr>
            <w:tcW w:w="1120" w:type="dxa"/>
            <w:vAlign w:val="bottom"/>
            <w:gridSpan w:val="2"/>
          </w:tcPr>
          <w:p>
            <w:pPr>
              <w:jc w:val="center"/>
              <w:ind w:right="200"/>
              <w:spacing w:after="0" w:line="59" w:lineRule="exact"/>
              <w:rPr>
                <w:sz w:val="20"/>
                <w:szCs w:val="20"/>
                <w:color w:val="auto"/>
              </w:rPr>
            </w:pPr>
            <w:r>
              <w:rPr>
                <w:rFonts w:ascii="Times New Roman" w:cs="Times New Roman" w:eastAsia="Times New Roman" w:hAnsi="Times New Roman"/>
                <w:sz w:val="6"/>
                <w:szCs w:val="6"/>
                <w:b w:val="1"/>
                <w:bCs w:val="1"/>
                <w:color w:val="auto"/>
              </w:rPr>
              <w:t>Deficit) Retained</w:t>
            </w:r>
          </w:p>
        </w:tc>
        <w:tc>
          <w:tcPr>
            <w:tcW w:w="140" w:type="dxa"/>
            <w:vAlign w:val="bottom"/>
          </w:tcPr>
          <w:p>
            <w:pPr>
              <w:spacing w:after="0"/>
              <w:rPr>
                <w:sz w:val="5"/>
                <w:szCs w:val="5"/>
                <w:color w:val="auto"/>
              </w:rPr>
            </w:pPr>
          </w:p>
        </w:tc>
        <w:tc>
          <w:tcPr>
            <w:tcW w:w="1140" w:type="dxa"/>
            <w:vAlign w:val="bottom"/>
            <w:gridSpan w:val="2"/>
          </w:tcPr>
          <w:p>
            <w:pPr>
              <w:jc w:val="center"/>
              <w:ind w:right="240"/>
              <w:spacing w:after="0" w:line="59" w:lineRule="exact"/>
              <w:rPr>
                <w:sz w:val="20"/>
                <w:szCs w:val="20"/>
                <w:color w:val="auto"/>
              </w:rPr>
            </w:pPr>
            <w:r>
              <w:rPr>
                <w:rFonts w:ascii="Times New Roman" w:cs="Times New Roman" w:eastAsia="Times New Roman" w:hAnsi="Times New Roman"/>
                <w:sz w:val="6"/>
                <w:szCs w:val="6"/>
                <w:b w:val="1"/>
                <w:bCs w:val="1"/>
                <w:color w:val="auto"/>
              </w:rPr>
              <w:t>Comprehensive</w:t>
            </w:r>
          </w:p>
        </w:tc>
        <w:tc>
          <w:tcPr>
            <w:tcW w:w="8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jc w:val="center"/>
              <w:ind w:right="73"/>
              <w:spacing w:after="0" w:line="59" w:lineRule="exact"/>
              <w:rPr>
                <w:sz w:val="20"/>
                <w:szCs w:val="20"/>
                <w:color w:val="auto"/>
              </w:rPr>
            </w:pPr>
            <w:r>
              <w:rPr>
                <w:rFonts w:ascii="Times New Roman" w:cs="Times New Roman" w:eastAsia="Times New Roman" w:hAnsi="Times New Roman"/>
                <w:sz w:val="6"/>
                <w:szCs w:val="6"/>
                <w:b w:val="1"/>
                <w:bCs w:val="1"/>
                <w:color w:val="auto"/>
              </w:rPr>
              <w:t>Stockholders’</w:t>
            </w:r>
          </w:p>
        </w:tc>
        <w:tc>
          <w:tcPr>
            <w:tcW w:w="0" w:type="dxa"/>
            <w:vAlign w:val="bottom"/>
          </w:tcPr>
          <w:p>
            <w:pPr>
              <w:spacing w:after="0"/>
              <w:rPr>
                <w:sz w:val="1"/>
                <w:szCs w:val="1"/>
                <w:color w:val="auto"/>
              </w:rPr>
            </w:pPr>
          </w:p>
        </w:tc>
      </w:tr>
      <w:tr>
        <w:trPr>
          <w:trHeight w:val="177"/>
        </w:trPr>
        <w:tc>
          <w:tcPr>
            <w:tcW w:w="2460" w:type="dxa"/>
            <w:vAlign w:val="bottom"/>
          </w:tcPr>
          <w:p>
            <w:pPr>
              <w:spacing w:after="0"/>
              <w:rPr>
                <w:sz w:val="15"/>
                <w:szCs w:val="15"/>
                <w:color w:val="auto"/>
              </w:rPr>
            </w:pP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8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Loss (revised)</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40" w:type="dxa"/>
            <w:vAlign w:val="bottom"/>
          </w:tcPr>
          <w:p>
            <w:pPr>
              <w:spacing w:after="0"/>
              <w:rPr>
                <w:sz w:val="15"/>
                <w:szCs w:val="15"/>
                <w:color w:val="auto"/>
              </w:rPr>
            </w:pPr>
          </w:p>
        </w:tc>
        <w:tc>
          <w:tcPr>
            <w:tcW w:w="980" w:type="dxa"/>
            <w:vAlign w:val="bottom"/>
          </w:tcPr>
          <w:p>
            <w:pPr>
              <w:jc w:val="center"/>
              <w:ind w:right="73"/>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97"/>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 (revised)</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20,343</w:t>
            </w: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203</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156,199</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(10,312)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(3,409)</w:t>
            </w: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(1,433)</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(11,851)</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130,830</w:t>
            </w:r>
          </w:p>
        </w:tc>
        <w:tc>
          <w:tcPr>
            <w:tcW w:w="0" w:type="dxa"/>
            <w:vAlign w:val="bottom"/>
          </w:tcPr>
          <w:p>
            <w:pPr>
              <w:spacing w:after="0"/>
              <w:rPr>
                <w:sz w:val="1"/>
                <w:szCs w:val="1"/>
                <w:color w:val="auto"/>
              </w:rPr>
            </w:pPr>
          </w:p>
        </w:tc>
      </w:tr>
      <w:tr>
        <w:trPr>
          <w:trHeight w:val="183"/>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(revised)</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24,030</w:t>
            </w:r>
          </w:p>
        </w:tc>
        <w:tc>
          <w:tcPr>
            <w:tcW w:w="0" w:type="dxa"/>
            <w:vAlign w:val="bottom"/>
          </w:tcPr>
          <w:p>
            <w:pPr>
              <w:spacing w:after="0"/>
              <w:rPr>
                <w:sz w:val="1"/>
                <w:szCs w:val="1"/>
                <w:color w:val="auto"/>
              </w:rPr>
            </w:pPr>
          </w:p>
        </w:tc>
      </w:tr>
      <w:tr>
        <w:trPr>
          <w:trHeight w:val="204"/>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0" w:type="dxa"/>
            <w:vAlign w:val="bottom"/>
          </w:tcPr>
          <w:p>
            <w:pPr>
              <w:spacing w:after="0"/>
              <w:rPr>
                <w:sz w:val="1"/>
                <w:szCs w:val="1"/>
                <w:color w:val="auto"/>
              </w:rPr>
            </w:pPr>
          </w:p>
        </w:tc>
      </w:tr>
      <w:tr>
        <w:trPr>
          <w:trHeight w:val="190"/>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Taxes for net share settlement of options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204"/>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3,424</w:t>
            </w:r>
          </w:p>
        </w:tc>
        <w:tc>
          <w:tcPr>
            <w:tcW w:w="0" w:type="dxa"/>
            <w:vAlign w:val="bottom"/>
          </w:tcPr>
          <w:p>
            <w:pPr>
              <w:spacing w:after="0"/>
              <w:rPr>
                <w:sz w:val="1"/>
                <w:szCs w:val="1"/>
                <w:color w:val="auto"/>
              </w:rPr>
            </w:pPr>
          </w:p>
        </w:tc>
      </w:tr>
      <w:tr>
        <w:trPr>
          <w:trHeight w:val="131"/>
        </w:trPr>
        <w:tc>
          <w:tcPr>
            <w:tcW w:w="2460" w:type="dxa"/>
            <w:vAlign w:val="bottom"/>
          </w:tcPr>
          <w:p>
            <w:pPr>
              <w:ind w:left="20"/>
              <w:spacing w:after="0" w:line="131" w:lineRule="exact"/>
              <w:rPr>
                <w:sz w:val="20"/>
                <w:szCs w:val="20"/>
                <w:color w:val="auto"/>
              </w:rPr>
            </w:pPr>
            <w:r>
              <w:rPr>
                <w:rFonts w:ascii="Times New Roman" w:cs="Times New Roman" w:eastAsia="Times New Roman" w:hAnsi="Times New Roman"/>
                <w:sz w:val="14"/>
                <w:szCs w:val="14"/>
                <w:color w:val="auto"/>
                <w:w w:val="99"/>
              </w:rPr>
              <w:t>Issuance of common stock under employee</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0" w:type="dxa"/>
            <w:vAlign w:val="bottom"/>
          </w:tcPr>
          <w:p>
            <w:pPr>
              <w:spacing w:after="0"/>
              <w:rPr>
                <w:sz w:val="1"/>
                <w:szCs w:val="1"/>
                <w:color w:val="auto"/>
              </w:rPr>
            </w:pPr>
          </w:p>
        </w:tc>
      </w:tr>
      <w:tr>
        <w:trPr>
          <w:trHeight w:val="190"/>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purchase plan</w:t>
            </w: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46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Exercise of stock options and issuance of</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0" w:type="dxa"/>
            <w:vAlign w:val="bottom"/>
          </w:tcPr>
          <w:p>
            <w:pPr>
              <w:spacing w:after="0"/>
              <w:rPr>
                <w:sz w:val="1"/>
                <w:szCs w:val="1"/>
                <w:color w:val="auto"/>
              </w:rPr>
            </w:pPr>
          </w:p>
        </w:tc>
      </w:tr>
      <w:tr>
        <w:trPr>
          <w:trHeight w:val="197"/>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awards, net of forfeitures</w:t>
            </w: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 (revised)</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20,631</w:t>
            </w:r>
          </w:p>
        </w:tc>
        <w:tc>
          <w:tcPr>
            <w:tcW w:w="100" w:type="dxa"/>
            <w:vAlign w:val="bottom"/>
            <w:tcBorders>
              <w:bottom w:val="single" w:sz="8" w:color="CCEEFF"/>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206</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160,475</w:t>
            </w:r>
          </w:p>
        </w:tc>
        <w:tc>
          <w:tcPr>
            <w:tcW w:w="12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13,718</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(4,110)</w:t>
            </w:r>
          </w:p>
        </w:tc>
        <w:tc>
          <w:tcPr>
            <w:tcW w:w="120" w:type="dxa"/>
            <w:vAlign w:val="bottom"/>
            <w:tcBorders>
              <w:bottom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(1,433)</w:t>
            </w:r>
          </w:p>
        </w:tc>
        <w:tc>
          <w:tcPr>
            <w:tcW w:w="12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(11,851)</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158,438</w:t>
            </w:r>
          </w:p>
        </w:tc>
        <w:tc>
          <w:tcPr>
            <w:tcW w:w="0" w:type="dxa"/>
            <w:vAlign w:val="bottom"/>
          </w:tcPr>
          <w:p>
            <w:pPr>
              <w:spacing w:after="0"/>
              <w:rPr>
                <w:sz w:val="1"/>
                <w:szCs w:val="1"/>
                <w:color w:val="auto"/>
              </w:rPr>
            </w:pPr>
          </w:p>
        </w:tc>
      </w:tr>
      <w:tr>
        <w:trPr>
          <w:trHeight w:val="196"/>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(15,422)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(15,422)</w:t>
            </w:r>
          </w:p>
        </w:tc>
        <w:tc>
          <w:tcPr>
            <w:tcW w:w="0" w:type="dxa"/>
            <w:vAlign w:val="bottom"/>
          </w:tcPr>
          <w:p>
            <w:pPr>
              <w:spacing w:after="0"/>
              <w:rPr>
                <w:sz w:val="1"/>
                <w:szCs w:val="1"/>
                <w:color w:val="auto"/>
              </w:rPr>
            </w:pPr>
          </w:p>
        </w:tc>
      </w:tr>
      <w:tr>
        <w:trPr>
          <w:trHeight w:val="190"/>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204"/>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2,078</w:t>
            </w:r>
          </w:p>
        </w:tc>
        <w:tc>
          <w:tcPr>
            <w:tcW w:w="0" w:type="dxa"/>
            <w:vAlign w:val="bottom"/>
          </w:tcPr>
          <w:p>
            <w:pPr>
              <w:spacing w:after="0"/>
              <w:rPr>
                <w:sz w:val="1"/>
                <w:szCs w:val="1"/>
                <w:color w:val="auto"/>
              </w:rPr>
            </w:pPr>
          </w:p>
        </w:tc>
      </w:tr>
      <w:tr>
        <w:trPr>
          <w:trHeight w:val="131"/>
        </w:trPr>
        <w:tc>
          <w:tcPr>
            <w:tcW w:w="2460" w:type="dxa"/>
            <w:vAlign w:val="bottom"/>
          </w:tcPr>
          <w:p>
            <w:pPr>
              <w:ind w:left="20"/>
              <w:spacing w:after="0" w:line="131" w:lineRule="exact"/>
              <w:rPr>
                <w:sz w:val="20"/>
                <w:szCs w:val="20"/>
                <w:color w:val="auto"/>
              </w:rPr>
            </w:pPr>
            <w:r>
              <w:rPr>
                <w:rFonts w:ascii="Times New Roman" w:cs="Times New Roman" w:eastAsia="Times New Roman" w:hAnsi="Times New Roman"/>
                <w:sz w:val="14"/>
                <w:szCs w:val="14"/>
                <w:color w:val="auto"/>
                <w:w w:val="99"/>
              </w:rPr>
              <w:t>Issuance of common stock under employee</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190"/>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purchase plan</w:t>
            </w: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131"/>
        </w:trPr>
        <w:tc>
          <w:tcPr>
            <w:tcW w:w="2460" w:type="dxa"/>
            <w:vAlign w:val="bottom"/>
          </w:tcPr>
          <w:p>
            <w:pPr>
              <w:ind w:left="20"/>
              <w:spacing w:after="0" w:line="131" w:lineRule="exact"/>
              <w:rPr>
                <w:sz w:val="20"/>
                <w:szCs w:val="20"/>
                <w:color w:val="auto"/>
              </w:rPr>
            </w:pPr>
            <w:r>
              <w:rPr>
                <w:rFonts w:ascii="Times New Roman" w:cs="Times New Roman" w:eastAsia="Times New Roman" w:hAnsi="Times New Roman"/>
                <w:sz w:val="14"/>
                <w:szCs w:val="14"/>
                <w:color w:val="auto"/>
              </w:rPr>
              <w:t>Exercise of stock options and issuance of</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2,464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2,469</w:t>
            </w:r>
          </w:p>
        </w:tc>
        <w:tc>
          <w:tcPr>
            <w:tcW w:w="0" w:type="dxa"/>
            <w:vAlign w:val="bottom"/>
          </w:tcPr>
          <w:p>
            <w:pPr>
              <w:spacing w:after="0"/>
              <w:rPr>
                <w:sz w:val="1"/>
                <w:szCs w:val="1"/>
                <w:color w:val="auto"/>
              </w:rPr>
            </w:pPr>
          </w:p>
        </w:tc>
      </w:tr>
      <w:tr>
        <w:trPr>
          <w:trHeight w:val="190"/>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awards, net of forfeitures</w:t>
            </w: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21,067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211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165,140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(4,185)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(12,090)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147,372</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80" w:type="dxa"/>
            <w:vAlign w:val="bottom"/>
          </w:tcPr>
          <w:p>
            <w:pPr>
              <w:spacing w:after="0"/>
              <w:rPr>
                <w:sz w:val="16"/>
                <w:szCs w:val="16"/>
                <w:color w:val="auto"/>
              </w:rPr>
            </w:pPr>
          </w:p>
        </w:tc>
        <w:tc>
          <w:tcPr>
            <w:tcW w:w="2960" w:type="dxa"/>
            <w:vAlign w:val="bottom"/>
            <w:gridSpan w:val="5"/>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4"/>
        </w:trPr>
        <w:tc>
          <w:tcPr>
            <w:tcW w:w="82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4"/>
        </w:trPr>
        <w:tc>
          <w:tcPr>
            <w:tcW w:w="82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2022 (revised)</w:t>
            </w:r>
          </w:p>
        </w:tc>
      </w:tr>
      <w:tr>
        <w:trPr>
          <w:trHeight w:val="18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90"/>
        </w:trPr>
        <w:tc>
          <w:tcPr>
            <w:tcW w:w="8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(loss) income</w:t>
            </w:r>
          </w:p>
        </w:tc>
        <w:tc>
          <w:tcPr>
            <w:tcW w:w="880" w:type="dxa"/>
            <w:vAlign w:val="bottom"/>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(15,422)</w:t>
            </w:r>
          </w:p>
        </w:tc>
        <w:tc>
          <w:tcPr>
            <w:tcW w:w="12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24,030</w:t>
            </w:r>
          </w:p>
        </w:tc>
      </w:tr>
      <w:tr>
        <w:trPr>
          <w:trHeight w:val="204"/>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Adjustments to reconcile net (loss) income to net cash provided by operating activities: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90"/>
        </w:trPr>
        <w:tc>
          <w:tcPr>
            <w:tcW w:w="82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r>
      <w:tr>
        <w:trPr>
          <w:trHeight w:val="204"/>
        </w:trPr>
        <w:tc>
          <w:tcPr>
            <w:tcW w:w="8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14,030</w:t>
            </w:r>
          </w:p>
        </w:tc>
      </w:tr>
      <w:tr>
        <w:trPr>
          <w:trHeight w:val="190"/>
        </w:trPr>
        <w:tc>
          <w:tcPr>
            <w:tcW w:w="82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Impairment charge to goodwill and long-lived assets</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8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Deferred income taxes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r>
      <w:tr>
        <w:trPr>
          <w:trHeight w:val="190"/>
        </w:trPr>
        <w:tc>
          <w:tcPr>
            <w:tcW w:w="82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Loss on disposals of fixed assets</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w:t>
            </w:r>
          </w:p>
        </w:tc>
      </w:tr>
      <w:tr>
        <w:trPr>
          <w:trHeight w:val="204"/>
        </w:trPr>
        <w:tc>
          <w:tcPr>
            <w:tcW w:w="8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Compensation expense related to stock-based awards and employee stock purchase plan</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3,424</w:t>
            </w:r>
          </w:p>
        </w:tc>
      </w:tr>
      <w:tr>
        <w:trPr>
          <w:trHeight w:val="190"/>
        </w:trPr>
        <w:tc>
          <w:tcPr>
            <w:tcW w:w="82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Unrealized currency translation gain</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r>
      <w:tr>
        <w:trPr>
          <w:trHeight w:val="204"/>
        </w:trPr>
        <w:tc>
          <w:tcPr>
            <w:tcW w:w="8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Gain on sale of KVH Media Group Entertainment Limited</w:t>
            </w:r>
          </w:p>
        </w:tc>
        <w:tc>
          <w:tcPr>
            <w:tcW w:w="8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w:t>
            </w:r>
          </w:p>
        </w:tc>
      </w:tr>
      <w:tr>
        <w:trPr>
          <w:trHeight w:val="190"/>
        </w:trPr>
        <w:tc>
          <w:tcPr>
            <w:tcW w:w="82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Gain on sale of inertial navigation business</w:t>
            </w:r>
          </w:p>
        </w:tc>
        <w:tc>
          <w:tcPr>
            <w:tcW w:w="88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(30,763)</w:t>
            </w:r>
          </w:p>
        </w:tc>
      </w:tr>
      <w:tr>
        <w:trPr>
          <w:trHeight w:val="204"/>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90"/>
        </w:trPr>
        <w:tc>
          <w:tcPr>
            <w:tcW w:w="82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Accounts receivable</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r>
      <w:tr>
        <w:trPr>
          <w:trHeight w:val="204"/>
        </w:trPr>
        <w:tc>
          <w:tcPr>
            <w:tcW w:w="8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Inventories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(8,493)</w:t>
            </w:r>
          </w:p>
        </w:tc>
      </w:tr>
      <w:tr>
        <w:trPr>
          <w:trHeight w:val="190"/>
        </w:trPr>
        <w:tc>
          <w:tcPr>
            <w:tcW w:w="82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Prepaid expenses, other current assets, and current contract assets</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(1,083)</w:t>
            </w:r>
          </w:p>
        </w:tc>
      </w:tr>
      <w:tr>
        <w:trPr>
          <w:trHeight w:val="204"/>
        </w:trPr>
        <w:tc>
          <w:tcPr>
            <w:tcW w:w="8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Other non-current assets and non-current contract assets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w:t>
            </w:r>
          </w:p>
        </w:tc>
      </w:tr>
      <w:tr>
        <w:trPr>
          <w:trHeight w:val="190"/>
        </w:trPr>
        <w:tc>
          <w:tcPr>
            <w:tcW w:w="82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Accounts payable</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(15,648)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11,364</w:t>
            </w:r>
          </w:p>
        </w:tc>
      </w:tr>
      <w:tr>
        <w:trPr>
          <w:trHeight w:val="204"/>
        </w:trPr>
        <w:tc>
          <w:tcPr>
            <w:tcW w:w="8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Deferred revenue</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w:t>
            </w:r>
          </w:p>
        </w:tc>
      </w:tr>
      <w:tr>
        <w:trPr>
          <w:trHeight w:val="190"/>
        </w:trPr>
        <w:tc>
          <w:tcPr>
            <w:tcW w:w="828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4"/>
                <w:szCs w:val="14"/>
                <w:color w:val="auto"/>
              </w:rPr>
              <w:t>Accrued compensation, product warranty and other</w:t>
            </w:r>
          </w:p>
        </w:tc>
        <w:tc>
          <w:tcPr>
            <w:tcW w:w="8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(4,578)</w:t>
            </w:r>
          </w:p>
        </w:tc>
      </w:tr>
      <w:tr>
        <w:trPr>
          <w:trHeight w:val="197"/>
        </w:trPr>
        <w:tc>
          <w:tcPr>
            <w:tcW w:w="82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88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2,530</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8,893</w:t>
            </w:r>
          </w:p>
        </w:tc>
      </w:tr>
      <w:tr>
        <w:trPr>
          <w:trHeight w:val="171"/>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03"/>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Capital expenditures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(14,390)</w:t>
            </w:r>
          </w:p>
        </w:tc>
      </w:tr>
      <w:tr>
        <w:trPr>
          <w:trHeight w:val="190"/>
        </w:trPr>
        <w:tc>
          <w:tcPr>
            <w:tcW w:w="8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Cash paid for acquisition of intangible assets</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204"/>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the sale of KVH Media Group Entertainment Limited, net of cash sold</w:t>
            </w:r>
          </w:p>
        </w:tc>
        <w:tc>
          <w:tcPr>
            <w:tcW w:w="8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2,378</w:t>
            </w:r>
          </w:p>
        </w:tc>
      </w:tr>
      <w:tr>
        <w:trPr>
          <w:trHeight w:val="190"/>
        </w:trPr>
        <w:tc>
          <w:tcPr>
            <w:tcW w:w="8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the sale of inertial navigation business</w:t>
            </w:r>
          </w:p>
        </w:tc>
        <w:tc>
          <w:tcPr>
            <w:tcW w:w="88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55,000</w:t>
            </w:r>
          </w:p>
        </w:tc>
      </w:tr>
      <w:tr>
        <w:trPr>
          <w:trHeight w:val="204"/>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(55,723)</w:t>
            </w:r>
          </w:p>
        </w:tc>
      </w:tr>
      <w:tr>
        <w:trPr>
          <w:trHeight w:val="190"/>
        </w:trPr>
        <w:tc>
          <w:tcPr>
            <w:tcW w:w="8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Maturities and sales of marketable securities</w:t>
            </w:r>
          </w:p>
        </w:tc>
        <w:tc>
          <w:tcPr>
            <w:tcW w:w="8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15,422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13,164</w:t>
            </w:r>
          </w:p>
        </w:tc>
      </w:tr>
      <w:tr>
        <w:trPr>
          <w:trHeight w:val="197"/>
        </w:trPr>
        <w:tc>
          <w:tcPr>
            <w:tcW w:w="82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4"/>
                <w:szCs w:val="14"/>
                <w:b w:val="1"/>
                <w:bCs w:val="1"/>
                <w:color w:val="auto"/>
              </w:rPr>
              <w:t>Net cash (used in) provided by investing activities</w:t>
            </w:r>
          </w:p>
        </w:tc>
        <w:tc>
          <w:tcPr>
            <w:tcW w:w="88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(14,714)</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375</w:t>
            </w:r>
          </w:p>
        </w:tc>
      </w:tr>
      <w:tr>
        <w:trPr>
          <w:trHeight w:val="171"/>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03"/>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stock options exercised and employee stock purchase plan</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w:t>
            </w:r>
          </w:p>
        </w:tc>
      </w:tr>
      <w:tr>
        <w:trPr>
          <w:trHeight w:val="190"/>
        </w:trPr>
        <w:tc>
          <w:tcPr>
            <w:tcW w:w="8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Repurchase of treasury stock</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Payment of finance lease</w:t>
            </w:r>
          </w:p>
        </w:tc>
        <w:tc>
          <w:tcPr>
            <w:tcW w:w="8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r>
      <w:tr>
        <w:trPr>
          <w:trHeight w:val="184"/>
        </w:trPr>
        <w:tc>
          <w:tcPr>
            <w:tcW w:w="828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880" w:type="dxa"/>
            <w:vAlign w:val="bottom"/>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2,343</w:t>
            </w:r>
          </w:p>
        </w:tc>
        <w:tc>
          <w:tcPr>
            <w:tcW w:w="12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708</w:t>
            </w:r>
          </w:p>
        </w:tc>
      </w:tr>
      <w:tr>
        <w:trPr>
          <w:trHeight w:val="203"/>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increase in cash and cash equivalents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36130" cy="1250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9">
                      <a:extLst>
                        <a:ext uri="{28A0092B-C50C-407E-A947-70E740481C1C}"/>
                      </a:extLst>
                    </a:blip>
                    <a:srcRect/>
                    <a:stretch>
                      <a:fillRect/>
                    </a:stretch>
                  </pic:blipFill>
                  <pic:spPr bwMode="auto">
                    <a:xfrm>
                      <a:off x="0" y="0"/>
                      <a:ext cx="7136130" cy="125095"/>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5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(9,762)</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9,680</w:t>
            </w:r>
          </w:p>
        </w:tc>
      </w:tr>
      <w:tr>
        <w:trPr>
          <w:trHeight w:val="186"/>
        </w:trPr>
        <w:tc>
          <w:tcPr>
            <w:tcW w:w="5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21,056</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11,376</w:t>
            </w:r>
          </w:p>
        </w:tc>
      </w:tr>
      <w:tr>
        <w:trPr>
          <w:trHeight w:val="24"/>
        </w:trPr>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78"/>
        </w:trPr>
        <w:tc>
          <w:tcPr>
            <w:tcW w:w="52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11,294</w:t>
            </w:r>
          </w:p>
        </w:tc>
        <w:tc>
          <w:tcPr>
            <w:tcW w:w="120" w:type="dxa"/>
            <w:vAlign w:val="bottom"/>
          </w:tcPr>
          <w:p>
            <w:pPr>
              <w:spacing w:after="0"/>
              <w:rPr>
                <w:sz w:val="15"/>
                <w:szCs w:val="15"/>
                <w:color w:val="auto"/>
              </w:rPr>
            </w:pPr>
          </w:p>
        </w:tc>
        <w:tc>
          <w:tcPr>
            <w:tcW w:w="52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21,056</w:t>
            </w:r>
          </w:p>
        </w:tc>
      </w:tr>
    </w:tbl>
    <w:p>
      <w:pPr>
        <w:spacing w:after="0" w:line="12" w:lineRule="exact"/>
        <w:rPr>
          <w:sz w:val="20"/>
          <w:szCs w:val="20"/>
          <w:color w:val="auto"/>
        </w:rPr>
      </w:pPr>
    </w:p>
    <w:p>
      <w:pPr>
        <w:sectPr>
          <w:pgSz w:w="11900" w:h="16838" w:orient="portrait"/>
          <w:cols w:equalWidth="0" w:num="2">
            <w:col w:w="7560" w:space="720"/>
            <w:col w:w="29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8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6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Cash paid for income taxes, net of refunds</w:t>
            </w:r>
          </w:p>
        </w:tc>
        <w:tc>
          <w:tcPr>
            <w:tcW w:w="6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7"/>
                <w:szCs w:val="17"/>
                <w:color w:val="auto"/>
              </w:rPr>
            </w:pPr>
          </w:p>
        </w:tc>
        <w:tc>
          <w:tcPr>
            <w:tcW w:w="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Changes in accrued other and accounts payable related to property and equipment additions</w:t>
            </w:r>
          </w:p>
        </w:tc>
        <w:tc>
          <w:tcPr>
            <w:tcW w:w="62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8280" w:type="dxa"/>
            <w:vAlign w:val="bottom"/>
          </w:tcPr>
          <w:p>
            <w:pPr>
              <w:ind w:left="340"/>
              <w:spacing w:after="0" w:line="131" w:lineRule="exact"/>
              <w:rPr>
                <w:sz w:val="20"/>
                <w:szCs w:val="20"/>
                <w:color w:val="auto"/>
              </w:rPr>
            </w:pPr>
            <w:r>
              <w:rPr>
                <w:rFonts w:ascii="Times New Roman" w:cs="Times New Roman" w:eastAsia="Times New Roman" w:hAnsi="Times New Roman"/>
                <w:sz w:val="14"/>
                <w:szCs w:val="14"/>
                <w:color w:val="auto"/>
              </w:rPr>
              <w:t>Right of use assets (ROU) assets arising from entering into new operating lease obligations</w:t>
            </w:r>
          </w:p>
        </w:tc>
        <w:tc>
          <w:tcPr>
            <w:tcW w:w="620" w:type="dxa"/>
            <w:vAlign w:val="bottom"/>
          </w:tcPr>
          <w:p>
            <w:pPr>
              <w:jc w:val="right"/>
              <w:ind w:right="470"/>
              <w:spacing w:after="0" w:line="131"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color w:val="auto"/>
              </w:rPr>
              <w:t>466</w:t>
            </w:r>
          </w:p>
        </w:tc>
        <w:tc>
          <w:tcPr>
            <w:tcW w:w="120" w:type="dxa"/>
            <w:vAlign w:val="bottom"/>
          </w:tcPr>
          <w:p>
            <w:pPr>
              <w:spacing w:after="0"/>
              <w:rPr>
                <w:sz w:val="11"/>
                <w:szCs w:val="11"/>
                <w:color w:val="auto"/>
              </w:rPr>
            </w:pPr>
          </w:p>
        </w:tc>
        <w:tc>
          <w:tcPr>
            <w:tcW w:w="560" w:type="dxa"/>
            <w:vAlign w:val="bottom"/>
          </w:tcPr>
          <w:p>
            <w:pPr>
              <w:jc w:val="right"/>
              <w:ind w:right="410"/>
              <w:spacing w:after="0" w:line="131"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color w:val="auto"/>
              </w:rPr>
              <w:t>1,089</w:t>
            </w:r>
          </w:p>
        </w:tc>
        <w:tc>
          <w:tcPr>
            <w:tcW w:w="0" w:type="dxa"/>
            <w:vAlign w:val="bottom"/>
          </w:tcPr>
          <w:p>
            <w:pPr>
              <w:spacing w:after="0"/>
              <w:rPr>
                <w:sz w:val="1"/>
                <w:szCs w:val="1"/>
                <w:color w:val="auto"/>
              </w:rPr>
            </w:pPr>
          </w:p>
        </w:tc>
      </w:tr>
      <w:tr>
        <w:trPr>
          <w:trHeight w:val="39"/>
        </w:trPr>
        <w:tc>
          <w:tcPr>
            <w:tcW w:w="8280" w:type="dxa"/>
            <w:vAlign w:val="bottom"/>
            <w:vMerge w:val="restart"/>
          </w:tcPr>
          <w:p>
            <w:pPr>
              <w:ind w:left="3380"/>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tc>
        <w:tc>
          <w:tcPr>
            <w:tcW w:w="6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280" w:type="dxa"/>
            <w:vAlign w:val="bottom"/>
            <w:vMerge w:val="continue"/>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828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20" w:hanging="615"/>
        <w:spacing w:after="0"/>
        <w:tabs>
          <w:tab w:leader="none" w:pos="6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38" w:lineRule="exact"/>
        <w:rPr>
          <w:sz w:val="20"/>
          <w:szCs w:val="20"/>
          <w:color w:val="auto"/>
        </w:rPr>
      </w:pPr>
    </w:p>
    <w:p>
      <w:pPr>
        <w:ind w:left="480" w:hanging="475"/>
        <w:spacing w:after="0"/>
        <w:tabs>
          <w:tab w:leader="none" w:pos="480"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Revision for Correction of Immaterial Errors</w:t>
      </w:r>
    </w:p>
    <w:p>
      <w:pPr>
        <w:spacing w:after="0" w:line="244" w:lineRule="exact"/>
        <w:rPr>
          <w:sz w:val="20"/>
          <w:szCs w:val="20"/>
          <w:color w:val="auto"/>
        </w:rPr>
      </w:pPr>
    </w:p>
    <w:p>
      <w:pPr>
        <w:jc w:val="both"/>
        <w:ind w:firstLine="473"/>
        <w:spacing w:after="0" w:line="246" w:lineRule="auto"/>
        <w:rPr>
          <w:sz w:val="20"/>
          <w:szCs w:val="20"/>
          <w:color w:val="auto"/>
        </w:rPr>
      </w:pPr>
      <w:r>
        <w:rPr>
          <w:rFonts w:ascii="Times New Roman" w:cs="Times New Roman" w:eastAsia="Times New Roman" w:hAnsi="Times New Roman"/>
          <w:sz w:val="18"/>
          <w:szCs w:val="18"/>
          <w:color w:val="auto"/>
        </w:rPr>
        <w:t>KVH Industries, Inc. (together with its subsidiaries, the Company or KVH) corrected for errors that were immaterial to its previously reported consolidated financial statements for the year ended December 31, 2022. These errors were identified in connection with the preparation of the financial statements for the year ended December 31, 2023, and related primarily to the adoption and implementation of Accounting Standards Codification (“ASC”) No. 606, Revenue from Contracts with Customers (“ASC 606”) on January 1, 2018, specifically the assessment of performance obligations associated with the sales of antennas and airtime-related equipment. The Company evaluated the materiality of these errors both qualitatively and quantitatively in accordance with Staff Accounting Bulletin (“SAB”) No. 99, Materiality, and SAB No. 108, Considering the Effects of Prior Year Misstatements When Quantifying Misstatements in Current Year Financial Statements, and determined that the effect of these corrections was not material to the previously issued financial statements. Therefore, the amounts in the previous period have been revised to reflect the correction of these errors. Additionally, the Company revised its stockholder’s equity as of January 1, 2022, to correct these errors as of the beginning of the earliest year presented in these consolidated financial statements, resulting in a $1.9 million increase in stockholder's equity from the previously reported amount of $129.0 million to the corrected amount of $130.8 million. There was no significant impact from these revisions on income taxes or earnings per share. The consolidated Statement of Stockholders’ Equity for the year ended December 31, 2022 has also been revised to include the changes to net income as noted below.</w:t>
      </w:r>
    </w:p>
    <w:p>
      <w:pPr>
        <w:spacing w:after="0" w:line="2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the effect of the error correction on the Company’s consolidated balance sheet as of December 31, 2022:</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As of December 31, 2022</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7"/>
        </w:trPr>
        <w:tc>
          <w:tcPr>
            <w:tcW w:w="6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Adjustment</w:t>
            </w:r>
          </w:p>
        </w:tc>
        <w:tc>
          <w:tcPr>
            <w:tcW w:w="200" w:type="dxa"/>
            <w:vAlign w:val="bottom"/>
          </w:tcPr>
          <w:p>
            <w:pPr>
              <w:spacing w:after="0"/>
              <w:rPr>
                <w:sz w:val="17"/>
                <w:szCs w:val="17"/>
                <w:color w:val="auto"/>
              </w:rPr>
            </w:pPr>
          </w:p>
        </w:tc>
        <w:tc>
          <w:tcPr>
            <w:tcW w:w="12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As Corrected</w:t>
            </w:r>
          </w:p>
        </w:tc>
      </w:tr>
      <w:tr>
        <w:trPr>
          <w:trHeight w:val="24"/>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contract assets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center"/>
              <w:ind w:left="554"/>
              <w:spacing w:after="0"/>
              <w:rPr>
                <w:sz w:val="20"/>
                <w:szCs w:val="20"/>
                <w:color w:val="auto"/>
              </w:rPr>
            </w:pPr>
            <w:r>
              <w:rPr>
                <w:rFonts w:ascii="Times New Roman" w:cs="Times New Roman" w:eastAsia="Times New Roman" w:hAnsi="Times New Roman"/>
                <w:sz w:val="18"/>
                <w:szCs w:val="18"/>
                <w:color w:val="auto"/>
                <w:w w:val="98"/>
              </w:rPr>
              <w:t>(1,243)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center"/>
              <w:ind w:left="554"/>
              <w:spacing w:after="0"/>
              <w:rPr>
                <w:sz w:val="20"/>
                <w:szCs w:val="20"/>
                <w:color w:val="auto"/>
              </w:rPr>
            </w:pPr>
            <w:r>
              <w:rPr>
                <w:rFonts w:ascii="Times New Roman" w:cs="Times New Roman" w:eastAsia="Times New Roman" w:hAnsi="Times New Roman"/>
                <w:sz w:val="18"/>
                <w:szCs w:val="18"/>
                <w:color w:val="auto"/>
                <w:w w:val="98"/>
              </w:rPr>
              <w:t>(1,243)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129,960</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contract assets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554"/>
              <w:spacing w:after="0"/>
              <w:rPr>
                <w:sz w:val="20"/>
                <w:szCs w:val="20"/>
                <w:color w:val="auto"/>
              </w:rPr>
            </w:pPr>
            <w:r>
              <w:rPr>
                <w:rFonts w:ascii="Times New Roman" w:cs="Times New Roman" w:eastAsia="Times New Roman" w:hAnsi="Times New Roman"/>
                <w:sz w:val="18"/>
                <w:szCs w:val="18"/>
                <w:color w:val="auto"/>
                <w:w w:val="98"/>
              </w:rPr>
              <w:t>(3,033)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center"/>
              <w:ind w:left="554"/>
              <w:spacing w:after="0"/>
              <w:rPr>
                <w:sz w:val="20"/>
                <w:szCs w:val="20"/>
                <w:color w:val="auto"/>
              </w:rPr>
            </w:pPr>
            <w:r>
              <w:rPr>
                <w:rFonts w:ascii="Times New Roman" w:cs="Times New Roman" w:eastAsia="Times New Roman" w:hAnsi="Times New Roman"/>
                <w:sz w:val="18"/>
                <w:szCs w:val="18"/>
                <w:color w:val="auto"/>
                <w:w w:val="98"/>
              </w:rPr>
              <w:t>(4,276)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196,254</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554"/>
              <w:spacing w:after="0"/>
              <w:rPr>
                <w:sz w:val="20"/>
                <w:szCs w:val="20"/>
                <w:color w:val="auto"/>
              </w:rPr>
            </w:pPr>
            <w:r>
              <w:rPr>
                <w:rFonts w:ascii="Times New Roman" w:cs="Times New Roman" w:eastAsia="Times New Roman" w:hAnsi="Times New Roman"/>
                <w:sz w:val="18"/>
                <w:szCs w:val="18"/>
                <w:color w:val="auto"/>
                <w:w w:val="98"/>
              </w:rPr>
              <w:t>(1,743)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center"/>
              <w:ind w:left="554"/>
              <w:spacing w:after="0"/>
              <w:rPr>
                <w:sz w:val="20"/>
                <w:szCs w:val="20"/>
                <w:color w:val="auto"/>
              </w:rPr>
            </w:pPr>
            <w:r>
              <w:rPr>
                <w:rFonts w:ascii="Times New Roman" w:cs="Times New Roman" w:eastAsia="Times New Roman" w:hAnsi="Times New Roman"/>
                <w:sz w:val="18"/>
                <w:szCs w:val="18"/>
                <w:color w:val="auto"/>
                <w:w w:val="98"/>
              </w:rPr>
              <w:t>(1,743)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37,125</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contract liabilities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554"/>
              <w:spacing w:after="0"/>
              <w:rPr>
                <w:sz w:val="20"/>
                <w:szCs w:val="20"/>
                <w:color w:val="auto"/>
              </w:rPr>
            </w:pPr>
            <w:r>
              <w:rPr>
                <w:rFonts w:ascii="Times New Roman" w:cs="Times New Roman" w:eastAsia="Times New Roman" w:hAnsi="Times New Roman"/>
                <w:sz w:val="18"/>
                <w:szCs w:val="18"/>
                <w:color w:val="auto"/>
                <w:w w:val="98"/>
              </w:rPr>
              <w:t>(4,315)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center"/>
              <w:ind w:left="554"/>
              <w:spacing w:after="0"/>
              <w:rPr>
                <w:sz w:val="20"/>
                <w:szCs w:val="20"/>
                <w:color w:val="auto"/>
              </w:rPr>
            </w:pPr>
            <w:r>
              <w:rPr>
                <w:rFonts w:ascii="Times New Roman" w:cs="Times New Roman" w:eastAsia="Times New Roman" w:hAnsi="Times New Roman"/>
                <w:sz w:val="18"/>
                <w:szCs w:val="18"/>
                <w:color w:val="auto"/>
                <w:w w:val="98"/>
              </w:rPr>
              <w:t>(6,058)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37,816</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594"/>
              <w:spacing w:after="0"/>
              <w:rPr>
                <w:sz w:val="20"/>
                <w:szCs w:val="20"/>
                <w:color w:val="auto"/>
              </w:rPr>
            </w:pPr>
            <w:r>
              <w:rPr>
                <w:rFonts w:ascii="Times New Roman" w:cs="Times New Roman" w:eastAsia="Times New Roman" w:hAnsi="Times New Roman"/>
                <w:sz w:val="18"/>
                <w:szCs w:val="18"/>
                <w:color w:val="auto"/>
                <w:w w:val="98"/>
              </w:rPr>
              <w:t>1,782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13,718</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center"/>
              <w:ind w:left="594"/>
              <w:spacing w:after="0"/>
              <w:rPr>
                <w:sz w:val="20"/>
                <w:szCs w:val="20"/>
                <w:color w:val="auto"/>
              </w:rPr>
            </w:pPr>
            <w:r>
              <w:rPr>
                <w:rFonts w:ascii="Times New Roman" w:cs="Times New Roman" w:eastAsia="Times New Roman" w:hAnsi="Times New Roman"/>
                <w:sz w:val="18"/>
                <w:szCs w:val="18"/>
                <w:color w:val="auto"/>
                <w:w w:val="98"/>
              </w:rPr>
              <w:t>1,782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158,438</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554"/>
              <w:spacing w:after="0"/>
              <w:rPr>
                <w:sz w:val="20"/>
                <w:szCs w:val="20"/>
                <w:color w:val="auto"/>
              </w:rPr>
            </w:pPr>
            <w:r>
              <w:rPr>
                <w:rFonts w:ascii="Times New Roman" w:cs="Times New Roman" w:eastAsia="Times New Roman" w:hAnsi="Times New Roman"/>
                <w:sz w:val="18"/>
                <w:szCs w:val="18"/>
                <w:color w:val="auto"/>
                <w:w w:val="98"/>
              </w:rPr>
              <w:t>(4,276)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196,254</w:t>
            </w:r>
          </w:p>
        </w:tc>
      </w:tr>
    </w:tbl>
    <w:p>
      <w:pPr>
        <w:spacing w:after="0" w:line="3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the effect of the error corrections on the consolidated statement of income for the year ended December 31, 2022:</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60" w:type="dxa"/>
            <w:vAlign w:val="bottom"/>
            <w:gridSpan w:val="6"/>
          </w:tcPr>
          <w:p>
            <w:pPr>
              <w:jc w:val="center"/>
              <w:ind w:left="917"/>
              <w:spacing w:after="0"/>
              <w:rPr>
                <w:sz w:val="20"/>
                <w:szCs w:val="20"/>
                <w:color w:val="auto"/>
              </w:rPr>
            </w:pPr>
            <w:r>
              <w:rPr>
                <w:rFonts w:ascii="Times New Roman" w:cs="Times New Roman" w:eastAsia="Times New Roman" w:hAnsi="Times New Roman"/>
                <w:sz w:val="14"/>
                <w:szCs w:val="14"/>
                <w:b w:val="1"/>
                <w:bCs w:val="1"/>
                <w:color w:val="auto"/>
                <w:w w:val="98"/>
              </w:rPr>
              <w:t>Year Ended December 31, 2022</w:t>
            </w:r>
          </w:p>
        </w:tc>
        <w:tc>
          <w:tcPr>
            <w:tcW w:w="1220" w:type="dxa"/>
            <w:vAlign w:val="bottom"/>
          </w:tcPr>
          <w:p>
            <w:pPr>
              <w:spacing w:after="0"/>
              <w:rPr>
                <w:sz w:val="16"/>
                <w:szCs w:val="16"/>
                <w:color w:val="auto"/>
              </w:rPr>
            </w:pPr>
          </w:p>
        </w:tc>
      </w:tr>
      <w:tr>
        <w:trPr>
          <w:trHeight w:val="197"/>
        </w:trPr>
        <w:tc>
          <w:tcPr>
            <w:tcW w:w="6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2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Adjustment</w:t>
            </w:r>
          </w:p>
        </w:tc>
        <w:tc>
          <w:tcPr>
            <w:tcW w:w="200" w:type="dxa"/>
            <w:vAlign w:val="bottom"/>
          </w:tcPr>
          <w:p>
            <w:pPr>
              <w:spacing w:after="0"/>
              <w:rPr>
                <w:sz w:val="17"/>
                <w:szCs w:val="17"/>
                <w:color w:val="auto"/>
              </w:rPr>
            </w:pPr>
          </w:p>
        </w:tc>
        <w:tc>
          <w:tcPr>
            <w:tcW w:w="12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As Corrected</w:t>
            </w:r>
          </w:p>
        </w:tc>
      </w:tr>
      <w:tr>
        <w:trPr>
          <w:trHeight w:val="24"/>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138,878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138,750</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25,158</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marketing and support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23,198</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the effect of the error corrections on the consolidated statement of cash flows for the year ended December 31, 2022:</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60" w:type="dxa"/>
            <w:vAlign w:val="bottom"/>
            <w:gridSpan w:val="6"/>
          </w:tcPr>
          <w:p>
            <w:pPr>
              <w:jc w:val="center"/>
              <w:ind w:left="917"/>
              <w:spacing w:after="0"/>
              <w:rPr>
                <w:sz w:val="20"/>
                <w:szCs w:val="20"/>
                <w:color w:val="auto"/>
              </w:rPr>
            </w:pPr>
            <w:r>
              <w:rPr>
                <w:rFonts w:ascii="Times New Roman" w:cs="Times New Roman" w:eastAsia="Times New Roman" w:hAnsi="Times New Roman"/>
                <w:sz w:val="14"/>
                <w:szCs w:val="14"/>
                <w:b w:val="1"/>
                <w:bCs w:val="1"/>
                <w:color w:val="auto"/>
                <w:w w:val="98"/>
              </w:rPr>
              <w:t>Year Ended December 31, 2022</w:t>
            </w:r>
          </w:p>
        </w:tc>
        <w:tc>
          <w:tcPr>
            <w:tcW w:w="1220" w:type="dxa"/>
            <w:vAlign w:val="bottom"/>
          </w:tcPr>
          <w:p>
            <w:pPr>
              <w:spacing w:after="0"/>
              <w:rPr>
                <w:sz w:val="16"/>
                <w:szCs w:val="16"/>
                <w:color w:val="auto"/>
              </w:rPr>
            </w:pPr>
          </w:p>
        </w:tc>
      </w:tr>
      <w:tr>
        <w:trPr>
          <w:trHeight w:val="197"/>
        </w:trPr>
        <w:tc>
          <w:tcPr>
            <w:tcW w:w="6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2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Adjustment</w:t>
            </w:r>
          </w:p>
        </w:tc>
        <w:tc>
          <w:tcPr>
            <w:tcW w:w="200" w:type="dxa"/>
            <w:vAlign w:val="bottom"/>
          </w:tcPr>
          <w:p>
            <w:pPr>
              <w:spacing w:after="0"/>
              <w:rPr>
                <w:sz w:val="17"/>
                <w:szCs w:val="17"/>
                <w:color w:val="auto"/>
              </w:rPr>
            </w:pPr>
          </w:p>
        </w:tc>
        <w:tc>
          <w:tcPr>
            <w:tcW w:w="12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As Corrected</w:t>
            </w:r>
          </w:p>
        </w:tc>
      </w:tr>
      <w:tr>
        <w:trPr>
          <w:trHeight w:val="24"/>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24,030</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other current assets, and current contract assets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 and non-current contract assets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and long-term contract liabilities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8,893</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r>
    </w:tbl>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impact of these error corrections on relevant quarterly financial information is presented in Note 16 to these consolidated financial statements.</w:t>
      </w:r>
    </w:p>
    <w:p>
      <w:pPr>
        <w:spacing w:after="0" w:line="236" w:lineRule="exact"/>
        <w:rPr>
          <w:sz w:val="20"/>
          <w:szCs w:val="20"/>
          <w:color w:val="auto"/>
        </w:rPr>
      </w:pPr>
    </w:p>
    <w:p>
      <w:pPr>
        <w:ind w:left="480" w:hanging="475"/>
        <w:spacing w:after="0"/>
        <w:tabs>
          <w:tab w:leader="none" w:pos="480"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43" w:lineRule="exact"/>
        <w:rPr>
          <w:rFonts w:ascii="Times New Roman" w:cs="Times New Roman" w:eastAsia="Times New Roman" w:hAnsi="Times New Roman"/>
          <w:sz w:val="18"/>
          <w:szCs w:val="18"/>
          <w:b w:val="1"/>
          <w:bCs w:val="1"/>
          <w:i w:val="1"/>
          <w:iCs w:val="1"/>
          <w:color w:val="auto"/>
        </w:rPr>
      </w:pPr>
    </w:p>
    <w:p>
      <w:pPr>
        <w:ind w:left="48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KVH designs, develops, manufactures and markets mobile connectivity services and products for the marine and land markets.</w:t>
      </w:r>
    </w:p>
    <w:p>
      <w:pPr>
        <w:spacing w:after="0" w:line="240" w:lineRule="exact"/>
        <w:rPr>
          <w:sz w:val="20"/>
          <w:szCs w:val="20"/>
          <w:color w:val="auto"/>
        </w:rPr>
      </w:pPr>
    </w:p>
    <w:p>
      <w:pPr>
        <w:jc w:val="both"/>
        <w:ind w:firstLine="473"/>
        <w:spacing w:after="0" w:line="248" w:lineRule="auto"/>
        <w:rPr>
          <w:sz w:val="20"/>
          <w:szCs w:val="20"/>
          <w:color w:val="auto"/>
        </w:rPr>
      </w:pPr>
      <w:r>
        <w:rPr>
          <w:rFonts w:ascii="Times New Roman" w:cs="Times New Roman" w:eastAsia="Times New Roman" w:hAnsi="Times New Roman"/>
          <w:sz w:val="18"/>
          <w:szCs w:val="18"/>
          <w:color w:val="auto"/>
        </w:rPr>
        <w:t>KVH’s service sales primarily represent revenue earned from satellite Internet airtime services. KVH provides, for monthly fixed and per-usage fees, satellite connectivity encompassing broadband Internet and VoIP services, to its TracNet H-series and TracPhone V-HTS series customers via KVH’s global high-throughput satellite (HTS) network. Revenue from our cellular airtime service increasingly supplements KVH’s satellite-only airtime revenue following the July 2022 launch of the KVH ONE hybrid network and TracNet H-series terminals. This service and product combination integrates global satellite service with KVH-provided cellular service in more than 150 countries, along with shore-based Wi-Fi access. The May 2023 introduction of the KVH ONE OpenNet Program expanded access to KVH's global HTS network and airtime services to non-KVH terminals for the first time.</w:t>
      </w:r>
    </w:p>
    <w:p>
      <w:pPr>
        <w:spacing w:after="0" w:line="215"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AgilePlans, KVH’s connectivity as a service offering, is a monthly subscription model that provides global connectivity to commercial maritime customers. The subscription includes the choice of satellite-only and hybrid terminals, airtime data service, VoIP, daily news, subsidized shipping and installation, and global support for a monthly fee with no minimum contract commitment. KVH offers AgilePlans subscribers a variety of airtime data plans with varying data speeds and fixed data usage levels with per megabyte overage charges. These airtime plans are similar to those the Company offers to customers who elect to purchase or lease a TracNet H-series or TracPhone V-HTS series terminal.</w:t>
      </w:r>
    </w:p>
    <w:p>
      <w:pPr>
        <w:spacing w:after="0" w:line="214" w:lineRule="exact"/>
        <w:rPr>
          <w:sz w:val="20"/>
          <w:szCs w:val="20"/>
          <w:color w:val="auto"/>
        </w:rPr>
      </w:pPr>
    </w:p>
    <w:p>
      <w:pPr>
        <w:jc w:val="both"/>
        <w:ind w:firstLine="473"/>
        <w:spacing w:after="0" w:line="248" w:lineRule="auto"/>
        <w:rPr>
          <w:sz w:val="20"/>
          <w:szCs w:val="20"/>
          <w:color w:val="auto"/>
        </w:rPr>
      </w:pPr>
      <w:r>
        <w:rPr>
          <w:rFonts w:ascii="Times New Roman" w:cs="Times New Roman" w:eastAsia="Times New Roman" w:hAnsi="Times New Roman"/>
          <w:sz w:val="18"/>
          <w:szCs w:val="18"/>
          <w:color w:val="auto"/>
        </w:rPr>
        <w:t>The Company recognizes the monthly AgilePlans subscription fee as service revenue over the service delivery period. The Company retains ownership of the hardware it provides to AgilePlans customers, who must return the hardware to KVH if they decide to terminate the service. Because KVH does not sell the hardware under AgilePlans, the Company does not recognize any product revenue when the hardware is deployed to an AgilePlans customer. KVH records the cost of the hardware used by AgilePlans customers as revenue-generating assets and depreciates the cost over an estimated useful life of five years. Since the Company is retaining ownership of the hardware, it does not accrue any warranty costs for AgilePlans hardware; however, any maintenance costs on the hardware are expensed in the period these costs are incurred.</w:t>
      </w:r>
    </w:p>
    <w:p>
      <w:pPr>
        <w:spacing w:after="0" w:line="215" w:lineRule="exact"/>
        <w:rPr>
          <w:sz w:val="20"/>
          <w:szCs w:val="20"/>
          <w:color w:val="auto"/>
        </w:rPr>
      </w:pPr>
    </w:p>
    <w:p>
      <w:pPr>
        <w:jc w:val="both"/>
        <w:ind w:firstLine="473"/>
        <w:spacing w:after="0" w:line="293" w:lineRule="auto"/>
        <w:rPr>
          <w:sz w:val="20"/>
          <w:szCs w:val="20"/>
          <w:color w:val="auto"/>
        </w:rPr>
      </w:pPr>
      <w:r>
        <w:rPr>
          <w:rFonts w:ascii="Times New Roman" w:cs="Times New Roman" w:eastAsia="Times New Roman" w:hAnsi="Times New Roman"/>
          <w:sz w:val="16"/>
          <w:szCs w:val="16"/>
          <w:color w:val="auto"/>
        </w:rPr>
        <w:t>Service sales also include the distribution of commercially licensed entertainment, including news, sports, and movies to commercial customers in the maritime and hotel markets through the KVH Media Group, along with supplemental value-added cybersecurity, email, and crew internet services. In addition, KVH earns monthly usage fees from third-party satellite connectivity services, including VoIP, data and Internet services, provided to its Inmarsat and Iridium customers who choose to activate their subscriptions with KVH. Service sales also include sales from product repairs and extended warranty sales.</w:t>
      </w:r>
    </w:p>
    <w:p>
      <w:pPr>
        <w:spacing w:after="0" w:line="179"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KVH’s satellite-only and hybrid products enable marine customers to receive data, Voice over Internet Protocol (VoIP), and value-added services via satellite, cellular, and shore-based Wi-Fi networks onboard commercial, leisure, and military/</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government vessels. In addition, the Company’s in-motion television terminals permit customers to receive live digital television via regional satellite services in marine vessels, recreational vehicles, buses and automobiles. KVH sells its products through an extensive international network of dealers and distributors. KVH also sells and leases products to service providers and end users.</w:t>
      </w:r>
    </w:p>
    <w:p>
      <w:pPr>
        <w:spacing w:after="0" w:line="205"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KVH's marine leisure business is highly seasonal, and seasonality can also impact the Company's commercial marine business, although typically to a lesser degree. Temporary suspensions of the Company's airtime services typically increase in the fourth and first quarters of each year as boats are placed out of service during the winter months. Historically, the Company has generated the majority of its marine leisure product revenues during the first and second quarters of each year, and these revenues typically decline in the third and fourth quarters of each year, compared to the first two quarters.</w:t>
      </w:r>
    </w:p>
    <w:p>
      <w:pPr>
        <w:spacing w:after="0" w:line="208"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In February 2024, the Company announced a staged wind-down of its product manufacturing operations at its Middletown, Rhode Island location. The Company expects that it will continue its product manufacturing activities in order to generate a targeted amount of inventory of maritime satellite connectivity and satellite television terminals to meet anticipated demand and that it will cease substantially all manufacturing activity by the end of the second quarter of 2024. The Company expects to continue to facilitate customer transition to third-party hardware products compatible with its mobile satellite communications services. Please see Note 15 for additional details surrounding the wind-down of the Company's manufacturing activities.</w:t>
      </w:r>
    </w:p>
    <w:p>
      <w:pPr>
        <w:spacing w:after="0" w:line="214" w:lineRule="exact"/>
        <w:rPr>
          <w:sz w:val="20"/>
          <w:szCs w:val="20"/>
          <w:color w:val="auto"/>
        </w:rPr>
      </w:pPr>
    </w:p>
    <w:p>
      <w:pPr>
        <w:jc w:val="both"/>
        <w:ind w:firstLine="473"/>
        <w:spacing w:after="0" w:line="281" w:lineRule="auto"/>
        <w:rPr>
          <w:sz w:val="20"/>
          <w:szCs w:val="20"/>
          <w:color w:val="auto"/>
        </w:rPr>
      </w:pPr>
      <w:r>
        <w:rPr>
          <w:rFonts w:ascii="Times New Roman" w:cs="Times New Roman" w:eastAsia="Times New Roman" w:hAnsi="Times New Roman"/>
          <w:sz w:val="16"/>
          <w:szCs w:val="16"/>
          <w:color w:val="auto"/>
        </w:rPr>
        <w:t>On August 9, 2022, the Company sold its inertial navigation business to EMCORE Corporation for net proceeds of $54,904, less specified deductions. On August 9, 2022, the Company also entered into a Transition Services Agreement with EMCORE, pursuant to which the Company agreed to provide certain transition services to support the continued operation of the inertial navigation business for six months following the sale with two extension options of three months each. The fee comprised both fixed monthly fees of approximately $100 as well as variable amounts for certain additional services with escalation increases on the fixed and variable rates for each extension option. The Company did not have any continuing involvement in these operations other than the transition services, which were recorded as an offset to general and administrative expenses in continuing operations. As of December 31, 2023, the Company is no longer providing transition services. For the years ended December 31, 2023 and 2022, the Company recognized an offset to general and administrative expenses associated with the Transition Services Agreement of $710 and $923, respectively. The Company determined that the sale met the requirements for reporting as discontinued operations in accordance with Accounting Standards Codification (ASC) 205-20. Please see Note 14 for the discontinued operations disclosures. As a result of the sale of its inertial navigation business, the Company operates as one reportable segment.</w:t>
      </w:r>
    </w:p>
    <w:p>
      <w:pPr>
        <w:spacing w:after="0" w:line="397" w:lineRule="exact"/>
        <w:rPr>
          <w:sz w:val="20"/>
          <w:szCs w:val="20"/>
          <w:color w:val="auto"/>
        </w:rPr>
      </w:pPr>
    </w:p>
    <w:p>
      <w:pPr>
        <w:ind w:left="480" w:hanging="475"/>
        <w:spacing w:after="0"/>
        <w:tabs>
          <w:tab w:leader="none" w:pos="480"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44"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The accompanying consolidated financial statements of KVH Industries, Inc. and its wholly owned subsidiaries have been prepared in accordance with accounting principles generally accepted in the United States of America. All of the operating expenses of the subsidiaries that serve as the Company’s European, Singaporean, Japanese, and Brazilian international distributors are reflected within sales, marketing, and support within the accompanying consolidated statements of operations. All significant intercompany accounts and transactions have been eliminated in consolidation.</w:t>
      </w:r>
    </w:p>
    <w:p>
      <w:pPr>
        <w:spacing w:after="0" w:line="208"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The 2022 consolidated financial statements reflect the sale of the inertial navigation business as discontinued operations. See Note 14 for further information on the sale of the inertial navigation business.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28" w:lineRule="exact"/>
        <w:rPr>
          <w:sz w:val="20"/>
          <w:szCs w:val="20"/>
          <w:color w:val="auto"/>
        </w:rPr>
      </w:pPr>
    </w:p>
    <w:p>
      <w:pPr>
        <w:ind w:left="480" w:hanging="475"/>
        <w:spacing w:after="0"/>
        <w:tabs>
          <w:tab w:leader="none" w:pos="480"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Significant Estimates and Assumptions and Other Significant Non-Recurring Transactions</w:t>
      </w:r>
    </w:p>
    <w:p>
      <w:pPr>
        <w:spacing w:after="0" w:line="244" w:lineRule="exact"/>
        <w:rPr>
          <w:sz w:val="20"/>
          <w:szCs w:val="20"/>
          <w:color w:val="auto"/>
        </w:rPr>
      </w:pPr>
    </w:p>
    <w:p>
      <w:pPr>
        <w:jc w:val="both"/>
        <w:ind w:firstLine="473"/>
        <w:spacing w:after="0" w:line="237"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as of the date of the financial statements and the reported amounts of sales and expenses during the reporting periods. The estimates and assumptions used by management affect the Company’s revenue recognition, valuation of accounts receivable, valuation of inventory, expected future cash flows including growth rates, discount rates, terminal values and other assumptions and estimates used to evaluate the recoverability of long-lived assets and goodwill, estimated fair values of long-lived assets, including goodwill, amortization methods and periods, certain accrued expenses and other related charges, stock-based compensation, contingent liabilities, forfeitures and key valuation assumptions for its share-based awards, estimated fulfillment costs for warranty obligations, tax reserves and recoverability of the Company’s net deferred tax assets and related valuation allowance, and the valuation of right-of-use assets and lease liabilities.</w:t>
      </w:r>
    </w:p>
    <w:p>
      <w:pPr>
        <w:spacing w:after="0" w:line="211"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Although the Company regularly assesses these estimates, actual results could differ materially from these estimates. Changes in estimates are recorded in the period in which they become known. The Company bases its estimates on historical experience and various other assumptions that it believes to be reasonable under the circumstances.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Executive Employment Agreement</w:t>
      </w:r>
    </w:p>
    <w:p>
      <w:pPr>
        <w:spacing w:after="0" w:line="229" w:lineRule="exact"/>
        <w:rPr>
          <w:sz w:val="20"/>
          <w:szCs w:val="20"/>
          <w:color w:val="auto"/>
        </w:rPr>
      </w:pPr>
    </w:p>
    <w:p>
      <w:pPr>
        <w:jc w:val="both"/>
        <w:ind w:firstLine="473"/>
        <w:spacing w:after="0" w:line="248" w:lineRule="auto"/>
        <w:rPr>
          <w:sz w:val="20"/>
          <w:szCs w:val="20"/>
          <w:color w:val="auto"/>
        </w:rPr>
      </w:pPr>
      <w:r>
        <w:rPr>
          <w:rFonts w:ascii="Times New Roman" w:cs="Times New Roman" w:eastAsia="Times New Roman" w:hAnsi="Times New Roman"/>
          <w:sz w:val="18"/>
          <w:szCs w:val="18"/>
          <w:color w:val="auto"/>
        </w:rPr>
        <w:t>In May 2022, the Company entered into an executive employment agreement with Brent C. Bruun in order to retain his services and provide him with certain benefits in the event that the Company terminated his employment without cause (as defined in the agreement) or Mr. Bruun terminated his employment for good reason (as defined in the agreement) (either such termination, a “Qualifying Termination”), including following a change in control. The agreement provided that, if Mr. Bruun continued to serve as an employee through December 31, 2022 (the “Retention Date”), the Company would pay him a retention bonus equal to 75% of his base salary on the agreement date, and the Company would accelerate the vesting of his equity awards that would otherwise have vested in the twelve months after the Retention Date.</w:t>
      </w:r>
    </w:p>
    <w:p>
      <w:pPr>
        <w:spacing w:after="0" w:line="215" w:lineRule="exact"/>
        <w:rPr>
          <w:sz w:val="20"/>
          <w:szCs w:val="20"/>
          <w:color w:val="auto"/>
        </w:rPr>
      </w:pPr>
    </w:p>
    <w:p>
      <w:pPr>
        <w:jc w:val="both"/>
        <w:ind w:firstLine="473"/>
        <w:spacing w:after="0" w:line="247" w:lineRule="auto"/>
        <w:rPr>
          <w:sz w:val="20"/>
          <w:szCs w:val="20"/>
          <w:color w:val="auto"/>
        </w:rPr>
      </w:pPr>
      <w:r>
        <w:rPr>
          <w:rFonts w:ascii="Times New Roman" w:cs="Times New Roman" w:eastAsia="Times New Roman" w:hAnsi="Times New Roman"/>
          <w:sz w:val="18"/>
          <w:szCs w:val="18"/>
          <w:color w:val="auto"/>
        </w:rPr>
        <w:t>In October 2022, the Company entered into an amendment to the employment agreement with Mr. Bruun that, among other things, increased his annual base salary to $448 per year, retroactive to July 1, 2022, increased his target annual incentive compensation for the second half of 2022 to 80% of his base salary (without changing his target annual incentive compensation for the first half of 2022), extended his Retention Date from December 31, 2022 to December 31, 2023, which effectively extended the period during which Mr. Bruun needed to remain employed by the Company in order to earn his retention bonus, and modified the amount of the retention bonus from 75% of his base salary in effect on May 2, 2022 to 75% of the highest base salary in effect for Mr. Bruun on or before the date he became entitled to receive the retention bonus. The amendment did not modify the terms of the employment agreement relating to acceleration of vesting of certain equity awards if Mr. Bruun remained employed by the Company through December 31, 2022.</w:t>
      </w:r>
    </w:p>
    <w:p>
      <w:pPr>
        <w:spacing w:after="0" w:line="218"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As of December 31, 2023, the Company accrued approximately $381 for the retention bonus payable to Mr. Bruun. In January 2024, we paid Mr. Bruun the full amount of his retention bonus as the applicable conditions of his agreement were satisfied on December 31, 2023.</w:t>
      </w:r>
    </w:p>
    <w:p>
      <w:pPr>
        <w:spacing w:after="0" w:line="195" w:lineRule="exact"/>
        <w:rPr>
          <w:sz w:val="20"/>
          <w:szCs w:val="20"/>
          <w:color w:val="auto"/>
        </w:rPr>
      </w:pPr>
    </w:p>
    <w:p>
      <w:pPr>
        <w:jc w:val="both"/>
        <w:ind w:firstLine="473"/>
        <w:spacing w:after="0" w:line="303" w:lineRule="auto"/>
        <w:rPr>
          <w:sz w:val="20"/>
          <w:szCs w:val="20"/>
          <w:color w:val="auto"/>
        </w:rPr>
      </w:pPr>
      <w:r>
        <w:rPr>
          <w:rFonts w:ascii="Times New Roman" w:cs="Times New Roman" w:eastAsia="Times New Roman" w:hAnsi="Times New Roman"/>
          <w:sz w:val="16"/>
          <w:szCs w:val="16"/>
          <w:color w:val="auto"/>
        </w:rPr>
        <w:t>Contemporaneously with the amendment to Mr. Bruun’s employment agreement, the Compensation Committee also granted Mr. Bruun a restricted stock award and a non-statutory stock option, which together had an aggregate grant date fair value of approximately $100. The restricted stock award and the non-statutory stock option have terms that are materially consistent with the previously disclosed terms of similar grants to the Company’s executive officers.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28" w:lineRule="exact"/>
        <w:rPr>
          <w:sz w:val="20"/>
          <w:szCs w:val="20"/>
          <w:color w:val="auto"/>
        </w:rPr>
      </w:pPr>
    </w:p>
    <w:p>
      <w:pPr>
        <w:ind w:left="480" w:hanging="475"/>
        <w:spacing w:after="0"/>
        <w:tabs>
          <w:tab w:leader="none" w:pos="480"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Concentration of Credit Risk and Single Source Suppliers</w:t>
      </w:r>
    </w:p>
    <w:p>
      <w:pPr>
        <w:spacing w:after="0" w:line="242" w:lineRule="exact"/>
        <w:rPr>
          <w:sz w:val="20"/>
          <w:szCs w:val="20"/>
          <w:color w:val="auto"/>
        </w:rPr>
      </w:pPr>
    </w:p>
    <w:p>
      <w:pPr>
        <w:jc w:val="both"/>
        <w:ind w:firstLine="473"/>
        <w:spacing w:after="0" w:line="294" w:lineRule="auto"/>
        <w:rPr>
          <w:sz w:val="20"/>
          <w:szCs w:val="20"/>
          <w:color w:val="auto"/>
        </w:rPr>
      </w:pPr>
      <w:r>
        <w:rPr>
          <w:rFonts w:ascii="Times New Roman" w:cs="Times New Roman" w:eastAsia="Times New Roman" w:hAnsi="Times New Roman"/>
          <w:sz w:val="16"/>
          <w:szCs w:val="16"/>
          <w:i w:val="1"/>
          <w:iCs w:val="1"/>
          <w:color w:val="auto"/>
        </w:rPr>
        <w:t xml:space="preserve">Cash, cash equivalents and marketable securities. </w:t>
      </w:r>
      <w:r>
        <w:rPr>
          <w:rFonts w:ascii="Times New Roman" w:cs="Times New Roman" w:eastAsia="Times New Roman" w:hAnsi="Times New Roman"/>
          <w:sz w:val="16"/>
          <w:szCs w:val="16"/>
          <w:color w:val="auto"/>
        </w:rPr>
        <w:t>The Company is potentially subject to financial instrument concentration of credit risk through its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cash, cash equivalent and marketable securities investments. To mitigate these risks the Company maintains cash, cash equivalents and marketable securities with reputable and nationally recognized financial institutions. As of December 31, 2023, $58,477 classified as marketable securities was held by Wells Fargo and substantially all of the cash and cash equivalents were held by Bank of America, N.A. See Note 2 for a description of marketable securities.</w:t>
      </w:r>
    </w:p>
    <w:p>
      <w:pPr>
        <w:spacing w:after="0" w:line="176"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Trade accounts receivable. </w:t>
      </w:r>
      <w:r>
        <w:rPr>
          <w:rFonts w:ascii="Times New Roman" w:cs="Times New Roman" w:eastAsia="Times New Roman" w:hAnsi="Times New Roman"/>
          <w:sz w:val="18"/>
          <w:szCs w:val="18"/>
          <w:color w:val="auto"/>
        </w:rPr>
        <w:t>Concentrations of risk (see Note 10) with respect to trade accounts receivable are generally limited due to the large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and their dispersion across several geographic areas. Although the Company does not foresee that credit risk associated with these receivables will deviate from historical experience, repayment is dependent upon the financial stability of those individual customers. The Company establishes allowances for potential expected credit losses and evaluates, on a monthly basis, the adequacy of those reserves based upon historical experience and its expectations for future collectability concerns. The Company performs ongoing credit evaluations of the financial condition of its customers and generally does not require collateral. Activity within the Company’s allowance for credit losses for the periods presented is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
        </w:trPr>
        <w:tc>
          <w:tcPr>
            <w:tcW w:w="82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2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Deductions (write-offs/recoveries) from reserve</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1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20" w:type="dxa"/>
            <w:vAlign w:val="bottom"/>
            <w:tcBorders>
              <w:bottom w:val="single" w:sz="8" w:color="auto"/>
            </w:tcBorders>
          </w:tcPr>
          <w:p>
            <w:pPr>
              <w:jc w:val="right"/>
              <w:ind w:right="71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w:t>
            </w:r>
          </w:p>
        </w:tc>
      </w:tr>
      <w:tr>
        <w:trPr>
          <w:trHeight w:val="20"/>
        </w:trPr>
        <w:tc>
          <w:tcPr>
            <w:tcW w:w="8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jc w:val="both"/>
        <w:ind w:firstLine="473"/>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Revenue and operations. </w:t>
      </w:r>
      <w:r>
        <w:rPr>
          <w:rFonts w:ascii="Times New Roman" w:cs="Times New Roman" w:eastAsia="Times New Roman" w:hAnsi="Times New Roman"/>
          <w:sz w:val="18"/>
          <w:szCs w:val="18"/>
          <w:color w:val="auto"/>
        </w:rPr>
        <w:t>Certain components from third parties used in the Company’s products are procured from single sources of supply. The failure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 supplier, including a subcontractor, to deliver on schedule could delay or interrupt the Company’s delivery of products and thereby materially adversely affect the Company’s revenues and operating results.</w:t>
      </w:r>
    </w:p>
    <w:p>
      <w:pPr>
        <w:spacing w:after="0" w:line="201" w:lineRule="exact"/>
        <w:rPr>
          <w:sz w:val="20"/>
          <w:szCs w:val="20"/>
          <w:color w:val="auto"/>
        </w:rPr>
      </w:pPr>
    </w:p>
    <w:p>
      <w:pPr>
        <w:ind w:left="460" w:hanging="455"/>
        <w:spacing w:after="0"/>
        <w:tabs>
          <w:tab w:leader="none" w:pos="460"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Revenue Recognition</w:t>
      </w:r>
    </w:p>
    <w:p>
      <w:pPr>
        <w:spacing w:after="0" w:line="231" w:lineRule="exact"/>
        <w:rPr>
          <w:sz w:val="20"/>
          <w:szCs w:val="20"/>
          <w:color w:val="auto"/>
        </w:rPr>
      </w:pPr>
    </w:p>
    <w:p>
      <w:pPr>
        <w:jc w:val="both"/>
        <w:ind w:firstLine="473"/>
        <w:spacing w:after="0"/>
        <w:rPr>
          <w:sz w:val="20"/>
          <w:szCs w:val="20"/>
          <w:color w:val="auto"/>
        </w:rPr>
      </w:pPr>
      <w:r>
        <w:rPr>
          <w:rFonts w:ascii="Times New Roman" w:cs="Times New Roman" w:eastAsia="Times New Roman" w:hAnsi="Times New Roman"/>
          <w:sz w:val="18"/>
          <w:szCs w:val="18"/>
          <w:color w:val="auto"/>
        </w:rPr>
        <w:t>In accordance with Accounting Standards Codification (ASC) 606, revenue is recognized when a customer obtains control of promised products and services. The amount of revenue recognized reflects the consideration which the Company expects to be entitled to receive in exchange for these products and services. To achieve this core principle, the Company applies the following five steps: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 Identify the contract with a customer</w:t>
      </w:r>
    </w:p>
    <w:p>
      <w:pPr>
        <w:spacing w:after="0" w:line="242" w:lineRule="exact"/>
        <w:rPr>
          <w:sz w:val="20"/>
          <w:szCs w:val="20"/>
          <w:color w:val="auto"/>
        </w:rPr>
      </w:pPr>
    </w:p>
    <w:p>
      <w:pPr>
        <w:jc w:val="both"/>
        <w:ind w:firstLine="473"/>
        <w:spacing w:after="0" w:line="285" w:lineRule="auto"/>
        <w:rPr>
          <w:sz w:val="20"/>
          <w:szCs w:val="20"/>
          <w:color w:val="auto"/>
        </w:rPr>
      </w:pPr>
      <w:r>
        <w:rPr>
          <w:rFonts w:ascii="Times New Roman" w:cs="Times New Roman" w:eastAsia="Times New Roman" w:hAnsi="Times New Roman"/>
          <w:sz w:val="16"/>
          <w:szCs w:val="16"/>
          <w:color w:val="auto"/>
        </w:rPr>
        <w:t>A contract with a customer exists when (i) the Company enters into an enforceable contract with a customer that defines each party’s rights regarding the products and services to be transferred and identifies the payment terms related to these products and services, (ii) the contract has commercial substance, and</w:t>
      </w:r>
    </w:p>
    <w:p>
      <w:pPr>
        <w:spacing w:after="0" w:line="1" w:lineRule="exact"/>
        <w:rPr>
          <w:sz w:val="20"/>
          <w:szCs w:val="20"/>
          <w:color w:val="auto"/>
        </w:rPr>
      </w:pPr>
    </w:p>
    <w:p>
      <w:pPr>
        <w:jc w:val="both"/>
        <w:ind w:firstLine="5"/>
        <w:spacing w:after="0" w:line="245" w:lineRule="auto"/>
        <w:tabs>
          <w:tab w:leader="none" w:pos="31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determines that collection of substantially all consideration for products and services that are transferred is probable based on the customer’s intent and ability to pay the promised consideration. The Company applies judgment in determining the customer’s ability and intention to pay, which is based on a variety of factors, including the customer’s historical payment pattern or, in the case of a new customer, published credit and financial information pertaining to the customer.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 Identify the performance obligations in the contract</w:t>
      </w:r>
    </w:p>
    <w:p>
      <w:pPr>
        <w:spacing w:after="0" w:line="242" w:lineRule="exact"/>
        <w:rPr>
          <w:sz w:val="20"/>
          <w:szCs w:val="20"/>
          <w:color w:val="auto"/>
        </w:rPr>
      </w:pPr>
    </w:p>
    <w:p>
      <w:pPr>
        <w:jc w:val="both"/>
        <w:ind w:firstLine="473"/>
        <w:spacing w:after="0" w:line="248"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products and services that will be transferred to the customer that are both capable of being distinct, whereby the customer can benefit from the product or service either on its own or together with other resources that are readily available from third parties or from the Company, and are distinct in the context of the contract, whereby the transfer of the product or service is separately identifiable from other promises in the contract. To the extent a contract includes multiple promised products and services, the Company must apply judgment to determine whether promised products and services are capable of being distinct and distinct in the context of the contract. If these criteria are not met, the promised products and services are accounted for as a combined performance obligation.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 Determine the transaction price</w:t>
      </w:r>
    </w:p>
    <w:p>
      <w:pPr>
        <w:spacing w:after="0" w:line="242"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will be entitled in exchange for transferring products and services to the customer. To the extent the transaction price includes variable consideration, the Company estimates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the Company’s judgment, it is probable that a significant future reversal of cumulative revenue under the contract will not occur.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 Allocate the transaction price to performance obligations in the contract</w:t>
      </w:r>
    </w:p>
    <w:p>
      <w:pPr>
        <w:spacing w:after="0" w:line="242" w:lineRule="exact"/>
        <w:rPr>
          <w:sz w:val="20"/>
          <w:szCs w:val="20"/>
          <w:color w:val="auto"/>
        </w:rPr>
      </w:pPr>
    </w:p>
    <w:p>
      <w:pPr>
        <w:jc w:val="both"/>
        <w:ind w:firstLine="473"/>
        <w:spacing w:after="0" w:line="247" w:lineRule="auto"/>
        <w:rPr>
          <w:sz w:val="20"/>
          <w:szCs w:val="20"/>
          <w:color w:val="auto"/>
        </w:rPr>
      </w:pPr>
      <w:r>
        <w:rPr>
          <w:rFonts w:ascii="Times New Roman" w:cs="Times New Roman" w:eastAsia="Times New Roman" w:hAnsi="Times New Roman"/>
          <w:sz w:val="18"/>
          <w:szCs w:val="18"/>
          <w:color w:val="auto"/>
        </w:rPr>
        <w:t>If the contract contains a single performance obligation, the entire transaction price is allocated to the single performance obligation. However, if a series of distinct products or services that are substantially the same qualify as a single performance obligation in a contract with variable consideration, the Company must determine if the variable consideration is attributable to the entire contract or to a specific part of the contract. Contracts that contain multiple performance obligations require an allocation of the transaction price to each performance obligation based on a relative standalone selling price basis unless the transaction price is variable and meets the criteria to be allocated entirely to a performance obligation or to a distinct product or service that forms part of a single performance obligation. The Company determines standalone selling price based on the price at which the performance obligation is sold separately. If the standalone selling price is not observable through past transactions, the Company estimates the standalone selling price taking into account available information such as market conditions and internally approved pricing guidelines related to the performance obligations.</w:t>
      </w:r>
    </w:p>
    <w:p>
      <w:pPr>
        <w:spacing w:after="0" w:line="213" w:lineRule="exact"/>
        <w:rPr>
          <w:sz w:val="20"/>
          <w:szCs w:val="20"/>
          <w:color w:val="auto"/>
        </w:rPr>
      </w:pPr>
    </w:p>
    <w:p>
      <w:pPr>
        <w:ind w:left="200" w:hanging="195"/>
        <w:spacing w:after="0"/>
        <w:tabs>
          <w:tab w:leader="none" w:pos="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Recognize revenue when or as the Company satisfies a performance obligation</w:t>
      </w:r>
    </w:p>
    <w:p>
      <w:pPr>
        <w:spacing w:after="0" w:line="242"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The Company satisfies performance obligations either over time or at a point in time. Revenue is recognized at the time the related performance obligation is satisfied by transferring a promised product or service to a customer.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w:t>
      </w:r>
    </w:p>
    <w:p>
      <w:pPr>
        <w:spacing w:after="0" w:line="242"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Revenue from product sales is recognized when control of the goods is transferred to the customer, which generally occurs upon shipment. Revenue related to shipping and handling is recognized when the products are shipped and the associated costs are accrued for based on the Company’s election to account for shipping and handling activities as a fulfillment of the promise to transfer the products and not as a combined promise.</w:t>
      </w:r>
    </w:p>
    <w:p>
      <w:pPr>
        <w:spacing w:after="0" w:line="205"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The Company’s standard payment terms for product sales are generally Net 30. Under certain limited conditions, the Company, at its sole discretion, provides for the return of goods. No product is accepted for return and no credit is allowed on any returned product unless the Company has granted and confirmed prior written permission by means of appropriate authorization. The Company establishes reserves for potential sales returns, credits, and allowances, and evaluates, on a monthly basis, the adequacy of those reserves based upon historical experience and expectations for the future.</w:t>
      </w:r>
    </w:p>
    <w:p>
      <w:pPr>
        <w:spacing w:after="0" w:line="195" w:lineRule="exact"/>
        <w:rPr>
          <w:sz w:val="20"/>
          <w:szCs w:val="20"/>
          <w:color w:val="auto"/>
        </w:rPr>
      </w:pPr>
    </w:p>
    <w:p>
      <w:pPr>
        <w:jc w:val="both"/>
        <w:ind w:firstLine="473"/>
        <w:spacing w:after="0" w:line="238" w:lineRule="auto"/>
        <w:rPr>
          <w:sz w:val="20"/>
          <w:szCs w:val="20"/>
          <w:color w:val="auto"/>
        </w:rPr>
      </w:pPr>
      <w:r>
        <w:rPr>
          <w:rFonts w:ascii="Times New Roman" w:cs="Times New Roman" w:eastAsia="Times New Roman" w:hAnsi="Times New Roman"/>
          <w:sz w:val="18"/>
          <w:szCs w:val="18"/>
          <w:color w:val="auto"/>
        </w:rPr>
        <w:t>Deferred revenue consist of advance payments and billings in excess of revenue recognized. The Company classifies any billings in excess of revenue recognized as deferred revenue as current or non-current based on the timing of when revenue is expected to be recognized.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Satellite connectivity and media content service sales</w:t>
      </w:r>
    </w:p>
    <w:p>
      <w:pPr>
        <w:spacing w:after="0" w:line="242"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Directly sold and re-sold satellite connectivity service for VoIP, data and Internet is recognized monthly based primarily on contracted fixed-fee schedules as well as any overages for minutes or megabytes of traffic processed. The Company has evaluated whether it obtains control of the services that are being transferred to the customer in assessing gross revenue reporting as principal versus net revenue reporting as agent for its satellite connectivity service sales and its payments to the applicable service providers. Based on the Company's assessment of the indicators, the Company has determined that gross revenue reporting as a principal is appropriate. The applicable indicators of gross revenue reporting include, but are not limited to, the following:</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32" w:lineRule="exact"/>
        <w:rPr>
          <w:sz w:val="20"/>
          <w:szCs w:val="20"/>
          <w:color w:val="auto"/>
        </w:rPr>
      </w:pPr>
    </w:p>
    <w:p>
      <w:pPr>
        <w:jc w:val="both"/>
        <w:ind w:left="640" w:hanging="319"/>
        <w:spacing w:after="0" w:line="252"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primary obligor in its arrangements with its subscribers. The Company manages all interactions with the subscribers, while satellite connectivity service providers do not interact with the subscribers. In addition, the Company assumes the entire performance risk under its arrangements with the subscribers and in the event of a performance issue, the Company may incur reductions in fees without regard for any recourse that the Company may have with the applicable satellite connective service providers.</w:t>
      </w:r>
    </w:p>
    <w:p>
      <w:pPr>
        <w:spacing w:after="0" w:line="208"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discretion in establishing pricing, as the pricing under its arrangements with the subscribers is negotiated through a contracting process. The Company then separately negotiates the fees with the applicable satellite service providers.</w:t>
      </w:r>
    </w:p>
    <w:p>
      <w:pPr>
        <w:spacing w:after="0" w:line="19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complete discretion in determining which satellite service providers it will contract with.</w:t>
      </w:r>
    </w:p>
    <w:p>
      <w:pPr>
        <w:spacing w:after="0" w:line="240"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As a result, the Company has determined that it earns revenue (as a principal) from the delivery of satellite connectivity services to its subscribers and records all satellite connectivity service sales to subscribers as gross sales. All associated regulatory service fees and costs are recorded net in the consolidated financial statements.</w:t>
      </w:r>
    </w:p>
    <w:p>
      <w:pPr>
        <w:spacing w:after="0" w:line="205"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The Company sells prepaid airtime services in the form of prepaid cards. A liability is established upon purchase equal to the cash paid for the prepaid card. The Company recognizes revenue from the prepaid services upon the use of the prepaid card by the customer. The Company does not offer refunds for unused prepaid services. Prepaid airtime services have not been a significant portion of the Company’s total sales.</w:t>
      </w:r>
    </w:p>
    <w:p>
      <w:pPr>
        <w:spacing w:after="0" w:line="205"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Media content sales include the Company's distribution of commercially licensed news, sports, movies and music content for commercial and leisure customers in the maritime, hotel, and retail markets. The Company typically recognizes revenue from media content sales ratably over the period of the service contract.</w:t>
      </w:r>
    </w:p>
    <w:p>
      <w:pPr>
        <w:spacing w:after="0" w:line="192" w:lineRule="exact"/>
        <w:rPr>
          <w:sz w:val="20"/>
          <w:szCs w:val="20"/>
          <w:color w:val="auto"/>
        </w:rPr>
      </w:pPr>
    </w:p>
    <w:p>
      <w:pPr>
        <w:ind w:right="120" w:firstLine="473"/>
        <w:spacing w:after="0" w:line="235" w:lineRule="auto"/>
        <w:rPr>
          <w:sz w:val="20"/>
          <w:szCs w:val="20"/>
          <w:color w:val="auto"/>
        </w:rPr>
      </w:pPr>
      <w:r>
        <w:rPr>
          <w:rFonts w:ascii="Times New Roman" w:cs="Times New Roman" w:eastAsia="Times New Roman" w:hAnsi="Times New Roman"/>
          <w:sz w:val="18"/>
          <w:szCs w:val="18"/>
          <w:color w:val="auto"/>
        </w:rPr>
        <w:t>Under AgilePlans, the Company retains ownership of the hardware that it provides to these customers, who must return the hardware to KVH if they decide to terminate the service. Because KVH does not sell the hardware under AgilePlans, the Company does not recognize any product revenue when the hardware is deployed to an AgilePlans customer. In accounting for the related service revenue, the Company has applied the practical expedient allowed under ASC 606-10-55-18 to recognize rental revenues in proportion to the amount of the right to invoice. The Company recognizes the subscription fee monthly as service revenue over the service delivery period.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service sales</w:t>
      </w:r>
    </w:p>
    <w:p>
      <w:pPr>
        <w:spacing w:after="0" w:line="242"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Product service sales other than under development contracts are recognized when completed services are delivered to the customer. The Company also sells extended warranty contracts on mobile connectivity and inertial navigation products. Sales under these contracts are recognized ratably over the contract term. Product service sales including extended warranties are not a significant portion of the Company’s total sales.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Sales-type leases</w:t>
      </w:r>
    </w:p>
    <w:p>
      <w:pPr>
        <w:spacing w:after="0" w:line="242"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Revenue is recognized on sales-type leases primarily from the TracPhone VSAT products. In accordance with ASC 842, the Company records the leases at a price typically equivalent to normal selling price and in excess of the cost or carrying amount. Upon delivery, the Company records the net present value of all payments under these leases as product revenue, and the related costs of the product are charged to cost of sales. See Note 13.</w:t>
      </w:r>
    </w:p>
    <w:p>
      <w:pPr>
        <w:spacing w:after="0" w:line="201" w:lineRule="exact"/>
        <w:rPr>
          <w:sz w:val="20"/>
          <w:szCs w:val="20"/>
          <w:color w:val="auto"/>
        </w:rPr>
      </w:pPr>
    </w:p>
    <w:p>
      <w:pPr>
        <w:ind w:left="480" w:hanging="475"/>
        <w:spacing w:after="0"/>
        <w:tabs>
          <w:tab w:leader="none" w:pos="480"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Leases</w:t>
      </w:r>
    </w:p>
    <w:p>
      <w:pPr>
        <w:spacing w:after="0" w:line="244"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In accordance with ASC 842, the Company recognizes all leases greater than one year in duration on the balance sheet as right-of-use assets and lease liabilities. In ASC 842, a lease is defined as follows: “[a] contract is or contains a lease if the contract conveys the right to control the use of identified property, plant, or equipment (an identified asset) for a period of time in exchange for consideration.”</w:t>
      </w:r>
    </w:p>
    <w:p>
      <w:pPr>
        <w:spacing w:after="0" w:line="205"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Many of our lease agreements contain renewal options which are recognized if it is determined that the Company is reasonably certain to renew the lease at inception or when a triggering event occurs. Some of our lease agreements contain rent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escalation clauses, rent holidays, capital improvement funding or other lease concessions. The Company recognizes operating lease costs on a straight-line basis based on the fixed components of a lease arrangement and amortize such expense over the term of the lease beginning with the commencement date. Variable lease components that are not fixed at the beginning of the lease are recognized as incurred.</w:t>
      </w:r>
    </w:p>
    <w:p>
      <w:pPr>
        <w:spacing w:after="0" w:line="205"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Under certain third-party service agreements, the Company controls a specific space or underlying asset used in providing the service by the third-party service provider. These arrangements meet the definition under ASC 842 and therefore are accounted for under ASC 842. Right-of-use assets and lease liabilities are recognized at commencement date based on the present value of lease payments over the lease term and include options to extend or terminate the lease when reasonably certain to be exercised. The present value of lease payments is determined using the incremental borrowing rate based on the information available at the lease commencement date.</w:t>
      </w:r>
    </w:p>
    <w:p>
      <w:pPr>
        <w:spacing w:after="0" w:line="210" w:lineRule="exact"/>
        <w:rPr>
          <w:sz w:val="20"/>
          <w:szCs w:val="20"/>
          <w:color w:val="auto"/>
        </w:rPr>
      </w:pPr>
    </w:p>
    <w:p>
      <w:pPr>
        <w:ind w:left="460" w:hanging="455"/>
        <w:spacing w:after="0"/>
        <w:tabs>
          <w:tab w:leader="none" w:pos="460"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44"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The carrying amounts of the Company’s financial instruments, which include cash equivalents, marketable securities, accounts receivable, accounts payable and accrued expenses, approximate their fair values due to the short maturity of these instruments. See Note 2 for more information on the fair value of the Company’s marketable securities. The carrying amount of finance leases approximate fair value based on currently available quoted rates of similarly structured debt facilities. See Note 13 for the Company's finance lease.</w:t>
      </w:r>
    </w:p>
    <w:p>
      <w:pPr>
        <w:spacing w:after="0" w:line="204" w:lineRule="exact"/>
        <w:rPr>
          <w:sz w:val="20"/>
          <w:szCs w:val="20"/>
          <w:color w:val="auto"/>
        </w:rPr>
      </w:pPr>
    </w:p>
    <w:p>
      <w:pPr>
        <w:ind w:left="480" w:hanging="475"/>
        <w:spacing w:after="0"/>
        <w:tabs>
          <w:tab w:leader="none" w:pos="480"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Cash, Cash Equivalents, and Marketable Securities</w:t>
      </w:r>
    </w:p>
    <w:p>
      <w:pPr>
        <w:spacing w:after="0" w:line="244" w:lineRule="exact"/>
        <w:rPr>
          <w:sz w:val="20"/>
          <w:szCs w:val="20"/>
          <w:color w:val="auto"/>
        </w:rPr>
      </w:pPr>
    </w:p>
    <w:p>
      <w:pPr>
        <w:jc w:val="both"/>
        <w:ind w:firstLine="473"/>
        <w:spacing w:after="0" w:line="288" w:lineRule="auto"/>
        <w:rPr>
          <w:sz w:val="20"/>
          <w:szCs w:val="20"/>
          <w:color w:val="auto"/>
        </w:rPr>
      </w:pPr>
      <w:r>
        <w:rPr>
          <w:rFonts w:ascii="Times New Roman" w:cs="Times New Roman" w:eastAsia="Times New Roman" w:hAnsi="Times New Roman"/>
          <w:sz w:val="16"/>
          <w:szCs w:val="16"/>
          <w:color w:val="auto"/>
        </w:rPr>
        <w:t>In accordance with the Company’s investment policy, cash in excess of operational needs is invested in money market mutual funds, government agency bonds, United States treasuries, municipal bonds, corporate notes, or certificates of deposit. All highly liquid investments with a maturity date of three months or less at the date of purchase are classified as cash equivalents. The Company determines the appropriate classification of marketable securities at each balance sheet date. As of December 31, 2023 and 2022, all of the Company’s marketable securities have been designated as available-for-sale and are carried at their fair value with unrealized gains and losses included in accumulated other comprehensive loss in the accompanying consolidated balance sheets.</w:t>
      </w:r>
    </w:p>
    <w:p>
      <w:pPr>
        <w:spacing w:after="0" w:line="184" w:lineRule="exact"/>
        <w:rPr>
          <w:sz w:val="20"/>
          <w:szCs w:val="20"/>
          <w:color w:val="auto"/>
        </w:rPr>
      </w:pPr>
    </w:p>
    <w:p>
      <w:pPr>
        <w:jc w:val="both"/>
        <w:ind w:firstLine="473"/>
        <w:spacing w:after="0" w:line="247" w:lineRule="auto"/>
        <w:rPr>
          <w:sz w:val="20"/>
          <w:szCs w:val="20"/>
          <w:color w:val="auto"/>
        </w:rPr>
      </w:pPr>
      <w:r>
        <w:rPr>
          <w:rFonts w:ascii="Times New Roman" w:cs="Times New Roman" w:eastAsia="Times New Roman" w:hAnsi="Times New Roman"/>
          <w:sz w:val="18"/>
          <w:szCs w:val="18"/>
          <w:color w:val="auto"/>
        </w:rPr>
        <w:t>The Company reviews investments in debt securities for other than temporary impairment whenever the fair value of an investment is less than amortized cost and evidence indicates that an investment’s carrying amount is not recoverable within a reasonable period of time. To determine whether an impairment is other-than-temporary, the Company considers whether it intends to sell the security, whether it expects to recover the credit loss, and if it is more likely than not that the Company will be required to sell the security prior to recovery. Evidence considered in this assessment includes the reasons for the impairment, compliance with the Company’s investment policy, the severity and duration of the impairment, changes in value subsequent to year-end and forecasted performance of the investee. The Company has reviewed its securities with unrealized losses as of December 31, 2023 and 2022 and has concluded that no other-than-temporary impairments exist.</w:t>
      </w:r>
    </w:p>
    <w:p>
      <w:pPr>
        <w:spacing w:after="0" w:line="214" w:lineRule="exact"/>
        <w:rPr>
          <w:sz w:val="20"/>
          <w:szCs w:val="20"/>
          <w:color w:val="auto"/>
        </w:rPr>
      </w:pPr>
    </w:p>
    <w:p>
      <w:pPr>
        <w:ind w:left="480" w:hanging="475"/>
        <w:spacing w:after="0"/>
        <w:tabs>
          <w:tab w:leader="none" w:pos="480"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Inventories</w:t>
      </w:r>
    </w:p>
    <w:p>
      <w:pPr>
        <w:spacing w:after="0" w:line="244"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Inventories are stated at the lower of cost and net realizable value using the first-in first-out costing method. The Company adjusts the carrying value of its inventory based on the consideration of excess and obsolete components and future estimated demand. The Company records inventory charges to costs of product sales.</w:t>
      </w:r>
    </w:p>
    <w:p>
      <w:pPr>
        <w:spacing w:after="0" w:line="201" w:lineRule="exact"/>
        <w:rPr>
          <w:sz w:val="20"/>
          <w:szCs w:val="20"/>
          <w:color w:val="auto"/>
        </w:rPr>
      </w:pPr>
    </w:p>
    <w:p>
      <w:pPr>
        <w:ind w:left="480" w:hanging="475"/>
        <w:spacing w:after="0"/>
        <w:tabs>
          <w:tab w:leader="none" w:pos="480"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44"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and amortization. Depreciation and amortization are computed on the straight-line method over the estimated useful lives of the respective assets. The principal lives used in determining the depreciation rates of various assets are: buildings and improvements, 5-40 years; leasehold improvements, shorter of original lease term or useful life; machinery, satellite hubs and equipment, 4-10 years; office and computer equipment, 3-7 years; and motor vehicles, 5 years.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28" w:lineRule="exact"/>
        <w:rPr>
          <w:sz w:val="20"/>
          <w:szCs w:val="20"/>
          <w:color w:val="auto"/>
        </w:rPr>
      </w:pPr>
    </w:p>
    <w:p>
      <w:pPr>
        <w:ind w:left="480" w:hanging="475"/>
        <w:spacing w:after="0"/>
        <w:tabs>
          <w:tab w:leader="none" w:pos="480"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Goodwill, Intangible Assets and other Long-Lived Assets</w:t>
      </w:r>
    </w:p>
    <w:p>
      <w:pPr>
        <w:spacing w:after="0" w:line="244"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As of December 31, 2023, the Company's intangible assets are primarily associated with the purchase of distribution rights from Kognitive Networks Inc. in October 2023 and the purchase of Virtek Communication (now known as KVH Industries Norway AS) in September 2010.</w:t>
      </w:r>
    </w:p>
    <w:p>
      <w:pPr>
        <w:spacing w:after="0" w:line="195"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Prior to the fourth quarter of 2023, the Company’s goodwill and intangible assets were also associated with the purchase of Headland Media Limited (now known as the KVH Media Group) in May 2013.</w:t>
      </w:r>
    </w:p>
    <w:p>
      <w:pPr>
        <w:spacing w:after="0" w:line="195"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In accordance with ASC Update No. 2017-04, Intangibles-Goodwill and Other (Topic 350): Simplifying the Test of Goodwill Impairment (ASC 350), the Company performs a goodwill impairment test at least annually, or more frequently if certain events occur, or circumstances change, that indicate it is more likely than not that the fair value of a reporting unit is less than its carrying amount (frequently referred to as impairment indicators or triggering events). A goodwill impairment loss is recognized for the amount that the carrying amount of a reporting unit, including goodwill, exceeds its fair value, limited to the total amount of goodwill allocated to that reporting unit.</w:t>
      </w:r>
    </w:p>
    <w:p>
      <w:pPr>
        <w:spacing w:after="0" w:line="214" w:lineRule="exact"/>
        <w:rPr>
          <w:sz w:val="20"/>
          <w:szCs w:val="20"/>
          <w:color w:val="auto"/>
        </w:rPr>
      </w:pPr>
    </w:p>
    <w:p>
      <w:pPr>
        <w:jc w:val="both"/>
        <w:ind w:firstLine="473"/>
        <w:spacing w:after="0" w:line="248" w:lineRule="auto"/>
        <w:rPr>
          <w:sz w:val="20"/>
          <w:szCs w:val="20"/>
          <w:color w:val="auto"/>
        </w:rPr>
      </w:pPr>
      <w:r>
        <w:rPr>
          <w:rFonts w:ascii="Times New Roman" w:cs="Times New Roman" w:eastAsia="Times New Roman" w:hAnsi="Times New Roman"/>
          <w:sz w:val="18"/>
          <w:szCs w:val="18"/>
          <w:color w:val="auto"/>
        </w:rPr>
        <w:t>Intangible assets with finite lives and other long-lived assets are reviewed for impairment whenever events or changes in circumstances indicate that the carrying amount of an asset may not be recoverable. Recoverability of intangible assets with finite lives and other long-lived assets is measured by a comparison of the carrying amount of an asset or asset group to future undiscounted cash flows expected to be generated by the asset or asset group. Asset groups are determined at the lowest level for which identifiable cash flows are largely independent of the cash flows of other assets and liabilities. If these comparisons indicate that an asset is not recoverable, the Company will recognize an impairment loss for the amount by which the carrying value of the asset or asset group exceeds the related estimated fair value.</w:t>
      </w:r>
    </w:p>
    <w:p>
      <w:pPr>
        <w:spacing w:after="0" w:line="211" w:lineRule="exact"/>
        <w:rPr>
          <w:sz w:val="20"/>
          <w:szCs w:val="20"/>
          <w:color w:val="auto"/>
        </w:rPr>
      </w:pPr>
    </w:p>
    <w:p>
      <w:pPr>
        <w:ind w:left="460" w:hanging="455"/>
        <w:spacing w:after="0"/>
        <w:tabs>
          <w:tab w:leader="none" w:pos="460" w:val="left"/>
        </w:tabs>
        <w:numPr>
          <w:ilvl w:val="0"/>
          <w:numId w:val="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Other Non-Current Assets</w:t>
      </w:r>
    </w:p>
    <w:p>
      <w:pPr>
        <w:spacing w:after="0" w:line="243" w:lineRule="exact"/>
        <w:rPr>
          <w:rFonts w:ascii="Times New Roman" w:cs="Times New Roman" w:eastAsia="Times New Roman" w:hAnsi="Times New Roman"/>
          <w:sz w:val="18"/>
          <w:szCs w:val="18"/>
          <w:b w:val="1"/>
          <w:bCs w:val="1"/>
          <w:i w:val="1"/>
          <w:iCs w:val="1"/>
          <w:color w:val="auto"/>
        </w:rPr>
      </w:pPr>
    </w:p>
    <w:p>
      <w:pPr>
        <w:ind w:left="48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Other non-current assets are primarily comprised of long-term lease receivables, prepaid expenses, and deposits.</w:t>
      </w:r>
    </w:p>
    <w:p>
      <w:pPr>
        <w:spacing w:after="0" w:line="235" w:lineRule="exact"/>
        <w:rPr>
          <w:rFonts w:ascii="Times New Roman" w:cs="Times New Roman" w:eastAsia="Times New Roman" w:hAnsi="Times New Roman"/>
          <w:sz w:val="18"/>
          <w:szCs w:val="18"/>
          <w:b w:val="1"/>
          <w:bCs w:val="1"/>
          <w:i w:val="1"/>
          <w:iCs w:val="1"/>
          <w:color w:val="auto"/>
        </w:rPr>
      </w:pPr>
    </w:p>
    <w:p>
      <w:pPr>
        <w:ind w:left="460" w:hanging="455"/>
        <w:spacing w:after="0"/>
        <w:tabs>
          <w:tab w:leader="none" w:pos="460" w:val="left"/>
        </w:tabs>
        <w:numPr>
          <w:ilvl w:val="0"/>
          <w:numId w:val="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Product Warranty</w:t>
      </w:r>
    </w:p>
    <w:p>
      <w:pPr>
        <w:spacing w:after="0" w:line="244" w:lineRule="exact"/>
        <w:rPr>
          <w:sz w:val="20"/>
          <w:szCs w:val="20"/>
          <w:color w:val="auto"/>
        </w:rPr>
      </w:pPr>
    </w:p>
    <w:p>
      <w:pPr>
        <w:jc w:val="both"/>
        <w:ind w:firstLine="473"/>
        <w:spacing w:after="0" w:line="248" w:lineRule="auto"/>
        <w:rPr>
          <w:sz w:val="20"/>
          <w:szCs w:val="20"/>
          <w:color w:val="auto"/>
        </w:rPr>
      </w:pPr>
      <w:r>
        <w:rPr>
          <w:rFonts w:ascii="Times New Roman" w:cs="Times New Roman" w:eastAsia="Times New Roman" w:hAnsi="Times New Roman"/>
          <w:sz w:val="18"/>
          <w:szCs w:val="18"/>
          <w:color w:val="auto"/>
        </w:rPr>
        <w:t>The Company’s products carry standard limited warranties that range from one to two years and vary by product. The warranty period begins on the date of retail purchase or lease by the original purchaser. The Company accrues estimated product warranty costs at the time of sale and any additional amounts are recorded when such costs are probable and can be reasonably estimated. Factors that affect the Company’s warranty liability include the number of units sold or leased, historical and anticipated rates of warranty repairs and the cost per repair. Warranty and related costs are reflected within sales, marketing and support in the accompanying consolidated statements of operations. As of December 31, 2023 and 2022, the Company had accrued product warranty costs of $828 and $1,287, respectively. The following table summarizes product warranty activity during 2023 and 2022: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
        </w:trPr>
        <w:tc>
          <w:tcPr>
            <w:tcW w:w="78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20" w:type="dxa"/>
            <w:vAlign w:val="bottom"/>
            <w:shd w:val="clear" w:color="auto" w:fill="CCEEFF"/>
          </w:tcPr>
          <w:p>
            <w:pPr>
              <w:jc w:val="right"/>
              <w:ind w:right="83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to expense</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incurred</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r>
      <w:tr>
        <w:trPr>
          <w:trHeight w:val="217"/>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020" w:type="dxa"/>
            <w:vAlign w:val="bottom"/>
            <w:tcBorders>
              <w:bottom w:val="single" w:sz="8" w:color="auto"/>
            </w:tcBorders>
          </w:tcPr>
          <w:p>
            <w:pPr>
              <w:jc w:val="right"/>
              <w:ind w:right="83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w:t>
            </w:r>
          </w:p>
        </w:tc>
      </w:tr>
      <w:tr>
        <w:trPr>
          <w:trHeight w:val="20"/>
        </w:trPr>
        <w:tc>
          <w:tcPr>
            <w:tcW w:w="78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480" w:hanging="475"/>
        <w:spacing w:after="0"/>
        <w:tabs>
          <w:tab w:leader="none" w:pos="480" w:val="left"/>
        </w:tabs>
        <w:numPr>
          <w:ilvl w:val="0"/>
          <w:numId w:val="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Shipping and Handling Costs</w:t>
      </w:r>
    </w:p>
    <w:p>
      <w:pPr>
        <w:spacing w:after="0" w:line="218" w:lineRule="exact"/>
        <w:rPr>
          <w:sz w:val="20"/>
          <w:szCs w:val="20"/>
          <w:color w:val="auto"/>
        </w:rPr>
      </w:pPr>
    </w:p>
    <w:p>
      <w:pPr>
        <w:ind w:firstLine="473"/>
        <w:spacing w:after="0" w:line="268" w:lineRule="auto"/>
        <w:rPr>
          <w:sz w:val="20"/>
          <w:szCs w:val="20"/>
          <w:color w:val="auto"/>
        </w:rPr>
      </w:pPr>
      <w:r>
        <w:rPr>
          <w:rFonts w:ascii="Times New Roman" w:cs="Times New Roman" w:eastAsia="Times New Roman" w:hAnsi="Times New Roman"/>
          <w:sz w:val="18"/>
          <w:szCs w:val="18"/>
          <w:color w:val="auto"/>
        </w:rPr>
        <w:t>Shipping and handling costs are expensed as incurred and included in cost of sales. Billings for shipping and handling are reflected within net sales in the accompanying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28" w:lineRule="exact"/>
        <w:rPr>
          <w:sz w:val="20"/>
          <w:szCs w:val="20"/>
          <w:color w:val="auto"/>
        </w:rPr>
      </w:pPr>
    </w:p>
    <w:p>
      <w:pPr>
        <w:ind w:left="480" w:hanging="475"/>
        <w:spacing w:after="0"/>
        <w:tabs>
          <w:tab w:leader="none" w:pos="480"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43" w:lineRule="exact"/>
        <w:rPr>
          <w:rFonts w:ascii="Times New Roman" w:cs="Times New Roman" w:eastAsia="Times New Roman" w:hAnsi="Times New Roman"/>
          <w:sz w:val="18"/>
          <w:szCs w:val="18"/>
          <w:b w:val="1"/>
          <w:bCs w:val="1"/>
          <w:i w:val="1"/>
          <w:iCs w:val="1"/>
          <w:color w:val="auto"/>
        </w:rPr>
      </w:pPr>
    </w:p>
    <w:p>
      <w:pPr>
        <w:ind w:left="48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Expenditures for research and development are expensed as incurred.</w:t>
      </w:r>
    </w:p>
    <w:p>
      <w:pPr>
        <w:spacing w:after="0" w:line="235" w:lineRule="exact"/>
        <w:rPr>
          <w:rFonts w:ascii="Times New Roman" w:cs="Times New Roman" w:eastAsia="Times New Roman" w:hAnsi="Times New Roman"/>
          <w:sz w:val="18"/>
          <w:szCs w:val="18"/>
          <w:b w:val="1"/>
          <w:bCs w:val="1"/>
          <w:i w:val="1"/>
          <w:iCs w:val="1"/>
          <w:color w:val="auto"/>
        </w:rPr>
      </w:pPr>
    </w:p>
    <w:p>
      <w:pPr>
        <w:ind w:left="480" w:hanging="475"/>
        <w:spacing w:after="0"/>
        <w:tabs>
          <w:tab w:leader="none" w:pos="480"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Advertising Costs</w:t>
      </w:r>
    </w:p>
    <w:p>
      <w:pPr>
        <w:spacing w:after="0" w:line="244" w:lineRule="exact"/>
        <w:rPr>
          <w:sz w:val="20"/>
          <w:szCs w:val="20"/>
          <w:color w:val="auto"/>
        </w:rPr>
      </w:pPr>
    </w:p>
    <w:p>
      <w:pPr>
        <w:ind w:firstLine="473"/>
        <w:spacing w:after="0" w:line="268" w:lineRule="auto"/>
        <w:rPr>
          <w:sz w:val="20"/>
          <w:szCs w:val="20"/>
          <w:color w:val="auto"/>
        </w:rPr>
      </w:pPr>
      <w:r>
        <w:rPr>
          <w:rFonts w:ascii="Times New Roman" w:cs="Times New Roman" w:eastAsia="Times New Roman" w:hAnsi="Times New Roman"/>
          <w:sz w:val="18"/>
          <w:szCs w:val="18"/>
          <w:color w:val="auto"/>
        </w:rPr>
        <w:t>Costs related to advertising are expensed as incurred. Advertising expense was $580 and $482 for the years ended December 31, 2023 and 2022, respectively, and is included in sales, marketing, and support expense in the accompanying consolidated statements of operations.</w:t>
      </w:r>
    </w:p>
    <w:p>
      <w:pPr>
        <w:spacing w:after="0" w:line="191" w:lineRule="exact"/>
        <w:rPr>
          <w:sz w:val="20"/>
          <w:szCs w:val="20"/>
          <w:color w:val="auto"/>
        </w:rPr>
      </w:pPr>
    </w:p>
    <w:p>
      <w:pPr>
        <w:ind w:left="460" w:hanging="455"/>
        <w:spacing w:after="0"/>
        <w:tabs>
          <w:tab w:leader="none" w:pos="460" w:val="left"/>
        </w:tabs>
        <w:numPr>
          <w:ilvl w:val="0"/>
          <w:numId w:val="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Foreign Currency Translation and Transaction</w:t>
      </w:r>
    </w:p>
    <w:p>
      <w:pPr>
        <w:spacing w:after="0" w:line="244" w:lineRule="exact"/>
        <w:rPr>
          <w:sz w:val="20"/>
          <w:szCs w:val="20"/>
          <w:color w:val="auto"/>
        </w:rPr>
      </w:pPr>
    </w:p>
    <w:p>
      <w:pPr>
        <w:jc w:val="both"/>
        <w:ind w:firstLine="473"/>
        <w:spacing w:after="0" w:line="248" w:lineRule="auto"/>
        <w:rPr>
          <w:sz w:val="20"/>
          <w:szCs w:val="20"/>
          <w:color w:val="auto"/>
        </w:rPr>
      </w:pPr>
      <w:r>
        <w:rPr>
          <w:rFonts w:ascii="Times New Roman" w:cs="Times New Roman" w:eastAsia="Times New Roman" w:hAnsi="Times New Roman"/>
          <w:sz w:val="18"/>
          <w:szCs w:val="18"/>
          <w:color w:val="auto"/>
        </w:rPr>
        <w:t>The financial statements of the Company’s foreign subsidiaries located in Denmark, Singapore and Cyprus are maintained using the United States dollar as the functional currency. Exchange rates in effect on the date of the transaction are used to record monetary assets and liabilities. Revenue and other expense elements are recorded at rates that approximate the rates in effect on the transaction dates. Foreign currency exchange gains and losses are recognized within “other (expense) income, net” in the accompanying consolidated statements of operations. For the years ended December 31, 2023 and 2022, the Company recorded a total of net foreign currency exchange (losses) gains, which are comprised of both realized and unrealized foreign currency exchange losses and gains, in its accompanying consolidated statements of operations $(33) and $517, respectively.</w:t>
      </w:r>
    </w:p>
    <w:p>
      <w:pPr>
        <w:spacing w:after="0" w:line="215"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The financial statements of the Company’s foreign subsidiaries located in the United Kingdom, Brazil, Norway, India and Japan use the foreign subsidiaries’ respective local currencies as the functional currency. The Company translates the assets and liabilities of these foreign subsidiaries at the exchange rates in effect at the end of each reporting period. Net sales, costs and expenses are translated using average exchange rates in effect during the period. Gains and losses from foreign currency translation are credited or charged to accumulated other comprehensive loss included in stockholders' equity in the accompanying consolidated balance sheets.</w:t>
      </w:r>
    </w:p>
    <w:p>
      <w:pPr>
        <w:spacing w:after="0" w:line="210" w:lineRule="exact"/>
        <w:rPr>
          <w:sz w:val="20"/>
          <w:szCs w:val="20"/>
          <w:color w:val="auto"/>
        </w:rPr>
      </w:pPr>
    </w:p>
    <w:p>
      <w:pPr>
        <w:ind w:left="460" w:hanging="455"/>
        <w:spacing w:after="0"/>
        <w:tabs>
          <w:tab w:leader="none" w:pos="460" w:val="left"/>
        </w:tabs>
        <w:numPr>
          <w:ilvl w:val="0"/>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Taxes</w:t>
      </w:r>
    </w:p>
    <w:p>
      <w:pPr>
        <w:spacing w:after="0" w:line="218"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 xml:space="preserve">The Company is subject to income taxes in the U.S. and in numerous foreign jurisdictions. The Company accounts for income taxes following ASC Topic 740, </w:t>
      </w:r>
      <w:r>
        <w:rPr>
          <w:rFonts w:ascii="Times New Roman" w:cs="Times New Roman" w:eastAsia="Times New Roman" w:hAnsi="Times New Roman"/>
          <w:sz w:val="18"/>
          <w:szCs w:val="18"/>
          <w:i w:val="1"/>
          <w:iCs w:val="1"/>
          <w:color w:val="auto"/>
        </w:rPr>
        <w:t>Accounting for Income Taxes.</w:t>
      </w:r>
    </w:p>
    <w:p>
      <w:pPr>
        <w:spacing w:after="0" w:line="195" w:lineRule="exact"/>
        <w:rPr>
          <w:sz w:val="20"/>
          <w:szCs w:val="20"/>
          <w:color w:val="auto"/>
        </w:rPr>
      </w:pPr>
    </w:p>
    <w:p>
      <w:pPr>
        <w:jc w:val="both"/>
        <w:ind w:firstLine="473"/>
        <w:spacing w:after="0" w:line="247"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attributable to differences between the financial statement carrying amounts of existing assets and liabilities and their respective tax bases using enacted tax rates expected to apply to taxable income in the years in which those temporary differences are expected to be recovered or settled. Deferred tax assets are reduced by a valuation allowance if it is more likely than not that some or all of a deferred tax asset will not be realized. The Company determines whether it is more likely than not that a tax position will be sustained upon examination. If it is not more likely than not that a position will be sustained, no amount of the benefit attributable to the position is recognized. The tax benefit to be recognized of any tax position that meets the more likely than not recognition threshold is calculated as the largest amount that is more than 50% likely of being realized upon resolution of the contingency.</w:t>
      </w:r>
    </w:p>
    <w:p>
      <w:pPr>
        <w:spacing w:after="0" w:line="218"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The effect on deferred tax assets and liabilities of a change in tax rates is recognized in income in the period that includes the enactment date. The Company recognizes interest and penalties within the income tax expense line in the accompanying consolidated statements of operations. Accrued interest and penalties are included within the related tax liability line in the consolidated balance sheets. See Note 7 for further discussion of income taxes.</w:t>
      </w:r>
    </w:p>
    <w:p>
      <w:pPr>
        <w:spacing w:after="0" w:line="201" w:lineRule="exact"/>
        <w:rPr>
          <w:sz w:val="20"/>
          <w:szCs w:val="20"/>
          <w:color w:val="auto"/>
        </w:rPr>
      </w:pPr>
    </w:p>
    <w:p>
      <w:pPr>
        <w:ind w:left="480" w:hanging="475"/>
        <w:spacing w:after="0"/>
        <w:tabs>
          <w:tab w:leader="none" w:pos="480"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Net Loss per Common Share</w:t>
      </w:r>
    </w:p>
    <w:p>
      <w:pPr>
        <w:spacing w:after="0" w:line="244"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Basic net loss per share is calculated based on the weighted average number of common shares outstanding during the period. Diluted net income per share incorporates the dilutive effect of common stock equivalent options, warrants and other convertible securities, if any, as determined in accordance with the treasury stock accounting method. For the years ended December 31, 2023 and 2022 since there was a net loss from continuing operations, the Company excluded all 1,419 and 1,359 shares, respectively, in outstanding stock options and non-vested restricted shares from its diluted loss per share calculation, as inclusion of these securities would have reduced the net loss per share.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reconciliation of the basic and diluted weighted average common shares outstanding is as follows:</w:t>
      </w:r>
    </w:p>
    <w:p>
      <w:pPr>
        <w:spacing w:after="0" w:line="129"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86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640" w:type="dxa"/>
            <w:vAlign w:val="bottom"/>
            <w:tcBorders>
              <w:top w:val="single" w:sz="8" w:color="auto"/>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outstanding—basic</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18,632</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Dilutive common shares issuable in connection with stock plans</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outstanding—diluted</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19,130</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18,632</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460" w:hanging="455"/>
        <w:spacing w:after="0"/>
        <w:tabs>
          <w:tab w:leader="none" w:pos="460" w:val="left"/>
        </w:tabs>
        <w:numPr>
          <w:ilvl w:val="0"/>
          <w:numId w:val="3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Contingent Liabilities</w:t>
      </w:r>
    </w:p>
    <w:p>
      <w:pPr>
        <w:spacing w:after="0" w:line="244"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 xml:space="preserve">The Company estimates the amount of potential exposure it may have with respect to claims, assessments and litigation in accordance with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As of December 31, 2023 and 2022, the Company was not party to any lawsuit or proceeding that, in management's opinion, was likely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materially harm the Company's business, results of operations, financial condition or cash flows. It is not always possible to predict the outcome of litigation, as it is subject to many uncertainties. Additionally, it is not always possible for management to make meaningful estimates of the potential loss or range of loss associated with such litigation.</w:t>
      </w:r>
    </w:p>
    <w:p>
      <w:pPr>
        <w:spacing w:after="0" w:line="210" w:lineRule="exact"/>
        <w:rPr>
          <w:sz w:val="20"/>
          <w:szCs w:val="20"/>
          <w:color w:val="auto"/>
        </w:rPr>
      </w:pPr>
    </w:p>
    <w:p>
      <w:pPr>
        <w:ind w:left="480" w:hanging="475"/>
        <w:spacing w:after="0"/>
        <w:tabs>
          <w:tab w:leader="none" w:pos="480" w:val="left"/>
        </w:tabs>
        <w:numPr>
          <w:ilvl w:val="0"/>
          <w:numId w:val="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Operating Segments</w:t>
      </w:r>
    </w:p>
    <w:p>
      <w:pPr>
        <w:spacing w:after="0" w:line="244"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The Company operates in one reportable segment as a result of the sale of its inertial navigation business on August 9, 2022. Operating segments are identified as components of an enterprise about which separate discrete financial information is available for evaluation by the chief operating decision maker in making decisions regarding resource allocation and assessing performance. The Company’s chief operating decision maker is its President, Chief Executive Officer and Director.</w:t>
      </w:r>
    </w:p>
    <w:p>
      <w:pPr>
        <w:spacing w:after="0" w:line="208"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The Company operates in a number of major geographic areas, including internationally. Revenues are generated from international locations, primarily consisting of Singapore, Canada, South American countries, European Union countries and other European countries, and countries in Africa, the Middle East and Asia/Pacific, including India (see Note 10,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201" w:lineRule="exact"/>
        <w:rPr>
          <w:sz w:val="20"/>
          <w:szCs w:val="20"/>
          <w:color w:val="auto"/>
        </w:rPr>
      </w:pPr>
    </w:p>
    <w:p>
      <w:pPr>
        <w:ind w:left="480" w:hanging="475"/>
        <w:spacing w:after="0"/>
        <w:tabs>
          <w:tab w:leader="none" w:pos="480" w:val="left"/>
        </w:tabs>
        <w:numPr>
          <w:ilvl w:val="0"/>
          <w:numId w:val="3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44"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FASB, or other standard setting bodies. Recently issued standards typically do not require adoption until a future effective date. Prior to their effective date, the Company evaluates the pronouncements to determine the potential effects of adoption on our consolidated financial statements.</w:t>
      </w:r>
    </w:p>
    <w:p>
      <w:pPr>
        <w:spacing w:after="0" w:line="205" w:lineRule="exact"/>
        <w:rPr>
          <w:sz w:val="20"/>
          <w:szCs w:val="20"/>
          <w:color w:val="auto"/>
        </w:rPr>
      </w:pPr>
    </w:p>
    <w:p>
      <w:pPr>
        <w:jc w:val="both"/>
        <w:ind w:firstLine="473"/>
        <w:spacing w:after="0" w:line="246"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Accounting Standards Update (“ASU”) No. 2016-13, Financial Instruments - Credit Losses (Topic 326) Measurement of Credit Losses on Financial Instruments, which requires an entity to utilize the current expected credit loss (“CECL”) impairment model to estimate its lifetime “expected credit loss” and record an allowance that is deducted from the amortized cost basis of the financial assets and certain other instruments, including but not limited to available-for-sale debt securities. Credit losses relating to available-for-sale debt securities are recorded through an allowance for credit losses. ASU 2016-13 requires a cumulative effect adjustment to the balance sheet as of the beginning of the first reporting period in which the guidance is effective. In November 2019, the FASB issued ASU 2019-10, Financial Instruments-Credit Losses (Topic 326), Derivatives and Hedging (Topic 815) and Leases (Topic 842): Effective Dates, which defers the effective date of ASU 2016-13 to fiscal years beginning after December 15, 2022 for all entities except SEC reporting companies that are not smaller reporting companies. The Company adopted ASU 2016-13 as of January 1, 2023. The adoption did not have a material impact on the Company’s financial statements.</w:t>
      </w:r>
    </w:p>
    <w:p>
      <w:pPr>
        <w:spacing w:after="0" w:line="220"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There are no recent accounting pronouncements that have been issued by the FASB that are not yet effective and that the Company expects would have a material impact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30" w:lineRule="exact"/>
        <w:rPr>
          <w:sz w:val="20"/>
          <w:szCs w:val="20"/>
          <w:color w:val="auto"/>
        </w:rPr>
      </w:pPr>
    </w:p>
    <w:p>
      <w:pPr>
        <w:ind w:left="620" w:hanging="615"/>
        <w:spacing w:after="0"/>
        <w:tabs>
          <w:tab w:leader="none" w:pos="62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24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Marketable securities as of December 31, 2023 and 2022 consisted of the following:</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5"/>
        </w:trPr>
        <w:tc>
          <w:tcPr>
            <w:tcW w:w="1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December 31, 2023</w:t>
            </w:r>
          </w:p>
        </w:tc>
        <w:tc>
          <w:tcPr>
            <w:tcW w:w="47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0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30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140" w:type="dxa"/>
            <w:vAlign w:val="bottom"/>
            <w:tcBorders>
              <w:bottom w:val="single" w:sz="8" w:color="auto"/>
            </w:tcBorders>
            <w:vMerge w:val="continue"/>
          </w:tcPr>
          <w:p>
            <w:pPr>
              <w:spacing w:after="0"/>
              <w:rPr>
                <w:sz w:val="12"/>
                <w:szCs w:val="12"/>
                <w:color w:val="auto"/>
              </w:rPr>
            </w:pPr>
          </w:p>
        </w:tc>
        <w:tc>
          <w:tcPr>
            <w:tcW w:w="4740" w:type="dxa"/>
            <w:vAlign w:val="bottom"/>
          </w:tcPr>
          <w:p>
            <w:pPr>
              <w:spacing w:after="0"/>
              <w:rPr>
                <w:sz w:val="12"/>
                <w:szCs w:val="12"/>
                <w:color w:val="auto"/>
              </w:rPr>
            </w:pPr>
          </w:p>
        </w:tc>
        <w:tc>
          <w:tcPr>
            <w:tcW w:w="130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5"/>
              </w:rPr>
              <w:t>Cost</w:t>
            </w:r>
          </w:p>
        </w:tc>
        <w:tc>
          <w:tcPr>
            <w:tcW w:w="130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6"/>
              </w:rPr>
              <w:t>Gains</w:t>
            </w:r>
          </w:p>
        </w:tc>
        <w:tc>
          <w:tcPr>
            <w:tcW w:w="130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7"/>
              </w:rPr>
              <w:t>Losses</w:t>
            </w:r>
          </w:p>
        </w:tc>
        <w:tc>
          <w:tcPr>
            <w:tcW w:w="12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6985635" cy="1504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2">
                      <a:extLst>
                        <a:ext uri="{28A0092B-C50C-407E-A947-70E740481C1C}"/>
                      </a:extLst>
                    </a:blip>
                    <a:srcRect/>
                    <a:stretch>
                      <a:fillRect/>
                    </a:stretch>
                  </pic:blipFill>
                  <pic:spPr bwMode="auto">
                    <a:xfrm>
                      <a:off x="0" y="0"/>
                      <a:ext cx="6985635" cy="1504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3"/>
        </w:trPr>
        <w:tc>
          <w:tcPr>
            <w:tcW w:w="5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58,477</w:t>
            </w:r>
          </w:p>
        </w:tc>
        <w:tc>
          <w:tcPr>
            <w:tcW w:w="120" w:type="dxa"/>
            <w:vAlign w:val="bottom"/>
          </w:tcPr>
          <w:p>
            <w:pPr>
              <w:spacing w:after="0"/>
              <w:rPr>
                <w:sz w:val="19"/>
                <w:szCs w:val="19"/>
                <w:color w:val="auto"/>
              </w:rPr>
            </w:pPr>
          </w:p>
        </w:tc>
        <w:tc>
          <w:tcPr>
            <w:tcW w:w="940" w:type="dxa"/>
            <w:vAlign w:val="bottom"/>
          </w:tcPr>
          <w:p>
            <w:pPr>
              <w:jc w:val="right"/>
              <w:ind w:right="76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center"/>
              <w:ind w:left="499"/>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58,477</w:t>
            </w:r>
          </w:p>
        </w:tc>
        <w:tc>
          <w:tcPr>
            <w:tcW w:w="0" w:type="dxa"/>
            <w:vAlign w:val="bottom"/>
          </w:tcPr>
          <w:p>
            <w:pPr>
              <w:spacing w:after="0"/>
              <w:rPr>
                <w:sz w:val="1"/>
                <w:szCs w:val="1"/>
                <w:color w:val="auto"/>
              </w:rPr>
            </w:pPr>
          </w:p>
        </w:tc>
      </w:tr>
      <w:tr>
        <w:trPr>
          <w:trHeight w:val="217"/>
        </w:trPr>
        <w:tc>
          <w:tcPr>
            <w:tcW w:w="59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marketable securities designated as available-for-sale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58,477</w:t>
            </w:r>
          </w:p>
        </w:tc>
        <w:tc>
          <w:tcPr>
            <w:tcW w:w="1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center"/>
              <w:ind w:left="599"/>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4"/>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940" w:type="dxa"/>
            <w:vAlign w:val="bottom"/>
          </w:tcPr>
          <w:p>
            <w:pPr>
              <w:jc w:val="center"/>
              <w:ind w:left="16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60" w:type="dxa"/>
            <w:vAlign w:val="bottom"/>
          </w:tcPr>
          <w:p>
            <w:pPr>
              <w:spacing w:after="0"/>
              <w:rPr>
                <w:sz w:val="24"/>
                <w:szCs w:val="24"/>
                <w:color w:val="auto"/>
              </w:rPr>
            </w:pPr>
          </w:p>
        </w:tc>
        <w:tc>
          <w:tcPr>
            <w:tcW w:w="940" w:type="dxa"/>
            <w:vAlign w:val="bottom"/>
            <w:vMerge w:val="restart"/>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5"/>
        </w:trPr>
        <w:tc>
          <w:tcPr>
            <w:tcW w:w="5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40" w:type="dxa"/>
            <w:vAlign w:val="bottom"/>
          </w:tcPr>
          <w:p>
            <w:pPr>
              <w:jc w:val="center"/>
              <w:ind w:left="160"/>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9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w w:val="95"/>
              </w:rPr>
              <w:t>Cost</w:t>
            </w:r>
          </w:p>
        </w:tc>
        <w:tc>
          <w:tcPr>
            <w:tcW w:w="940" w:type="dxa"/>
            <w:vAlign w:val="bottom"/>
          </w:tcPr>
          <w:p>
            <w:pPr>
              <w:jc w:val="center"/>
              <w:ind w:left="160"/>
              <w:spacing w:after="0" w:line="145" w:lineRule="exact"/>
              <w:rPr>
                <w:sz w:val="20"/>
                <w:szCs w:val="20"/>
                <w:color w:val="auto"/>
              </w:rPr>
            </w:pPr>
            <w:r>
              <w:rPr>
                <w:rFonts w:ascii="Times New Roman" w:cs="Times New Roman" w:eastAsia="Times New Roman" w:hAnsi="Times New Roman"/>
                <w:sz w:val="14"/>
                <w:szCs w:val="14"/>
                <w:b w:val="1"/>
                <w:bCs w:val="1"/>
                <w:color w:val="auto"/>
                <w:w w:val="96"/>
              </w:rPr>
              <w:t>Gains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Losses</w:t>
            </w:r>
          </w:p>
        </w:tc>
        <w:tc>
          <w:tcPr>
            <w:tcW w:w="260" w:type="dxa"/>
            <w:vAlign w:val="bottom"/>
          </w:tcPr>
          <w:p>
            <w:pPr>
              <w:spacing w:after="0"/>
              <w:rPr>
                <w:sz w:val="12"/>
                <w:szCs w:val="12"/>
                <w:color w:val="auto"/>
              </w:rPr>
            </w:pPr>
          </w:p>
        </w:tc>
        <w:tc>
          <w:tcPr>
            <w:tcW w:w="940" w:type="dxa"/>
            <w:vAlign w:val="bottom"/>
          </w:tcPr>
          <w:p>
            <w:pPr>
              <w:jc w:val="right"/>
              <w:ind w:right="337"/>
              <w:spacing w:after="0" w:line="145"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1140" w:type="dxa"/>
            <w:vAlign w:val="bottom"/>
            <w:tcBorders>
              <w:top w:val="single" w:sz="8" w:color="auto"/>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30,977</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center"/>
              <w:ind w:left="599"/>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30,977</w:t>
            </w:r>
          </w:p>
        </w:tc>
        <w:tc>
          <w:tcPr>
            <w:tcW w:w="0" w:type="dxa"/>
            <w:vAlign w:val="bottom"/>
          </w:tcPr>
          <w:p>
            <w:pPr>
              <w:spacing w:after="0"/>
              <w:rPr>
                <w:sz w:val="1"/>
                <w:szCs w:val="1"/>
                <w:color w:val="auto"/>
              </w:rPr>
            </w:pPr>
          </w:p>
        </w:tc>
      </w:tr>
      <w:tr>
        <w:trPr>
          <w:trHeight w:val="223"/>
        </w:trPr>
        <w:tc>
          <w:tcPr>
            <w:tcW w:w="5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United States treasuries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24,715</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center"/>
              <w:ind w:left="579"/>
              <w:spacing w:after="0"/>
              <w:rPr>
                <w:sz w:val="20"/>
                <w:szCs w:val="20"/>
                <w:color w:val="auto"/>
              </w:rPr>
            </w:pPr>
            <w:r>
              <w:rPr>
                <w:rFonts w:ascii="Times New Roman" w:cs="Times New Roman" w:eastAsia="Times New Roman" w:hAnsi="Times New Roman"/>
                <w:sz w:val="18"/>
                <w:szCs w:val="18"/>
                <w:color w:val="auto"/>
                <w:w w:val="93"/>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24,703</w:t>
            </w:r>
          </w:p>
        </w:tc>
        <w:tc>
          <w:tcPr>
            <w:tcW w:w="0" w:type="dxa"/>
            <w:vAlign w:val="bottom"/>
          </w:tcPr>
          <w:p>
            <w:pPr>
              <w:spacing w:after="0"/>
              <w:rPr>
                <w:sz w:val="1"/>
                <w:szCs w:val="1"/>
                <w:color w:val="auto"/>
              </w:rPr>
            </w:pPr>
          </w:p>
        </w:tc>
      </w:tr>
      <w:tr>
        <w:trPr>
          <w:trHeight w:val="242"/>
        </w:trPr>
        <w:tc>
          <w:tcPr>
            <w:tcW w:w="59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marketable securities designated as available-for-sale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center"/>
              <w:ind w:left="579"/>
              <w:spacing w:after="0"/>
              <w:rPr>
                <w:sz w:val="20"/>
                <w:szCs w:val="20"/>
                <w:color w:val="auto"/>
              </w:rPr>
            </w:pPr>
            <w:r>
              <w:rPr>
                <w:rFonts w:ascii="Times New Roman" w:cs="Times New Roman" w:eastAsia="Times New Roman" w:hAnsi="Times New Roman"/>
                <w:sz w:val="18"/>
                <w:szCs w:val="18"/>
                <w:color w:val="auto"/>
                <w:w w:val="93"/>
              </w:rPr>
              <w:t>(12)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55,680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effective maturity date of the United States treasuries is less than one year.</w:t>
      </w:r>
    </w:p>
    <w:p>
      <w:pPr>
        <w:spacing w:after="0" w:line="2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Interest income from marketable securities was $2,785 and $723 for the years ended December 31, 2023 and 2022, respectively.</w:t>
      </w:r>
    </w:p>
    <w:p>
      <w:pPr>
        <w:spacing w:after="0" w:line="200" w:lineRule="exact"/>
        <w:rPr>
          <w:sz w:val="20"/>
          <w:szCs w:val="20"/>
          <w:color w:val="auto"/>
        </w:rPr>
      </w:pPr>
    </w:p>
    <w:p>
      <w:pPr>
        <w:spacing w:after="0" w:line="288" w:lineRule="exact"/>
        <w:rPr>
          <w:sz w:val="20"/>
          <w:szCs w:val="20"/>
          <w:color w:val="auto"/>
        </w:rPr>
      </w:pPr>
    </w:p>
    <w:p>
      <w:pPr>
        <w:ind w:left="620" w:hanging="615"/>
        <w:spacing w:after="0"/>
        <w:tabs>
          <w:tab w:leader="none" w:pos="62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42" w:lineRule="exact"/>
        <w:rPr>
          <w:sz w:val="20"/>
          <w:szCs w:val="20"/>
          <w:color w:val="auto"/>
        </w:rPr>
      </w:pPr>
    </w:p>
    <w:p>
      <w:pPr>
        <w:ind w:firstLine="473"/>
        <w:spacing w:after="0" w:line="268" w:lineRule="auto"/>
        <w:rPr>
          <w:sz w:val="20"/>
          <w:szCs w:val="20"/>
          <w:color w:val="auto"/>
        </w:rPr>
      </w:pPr>
      <w:r>
        <w:rPr>
          <w:rFonts w:ascii="Times New Roman" w:cs="Times New Roman" w:eastAsia="Times New Roman" w:hAnsi="Times New Roman"/>
          <w:sz w:val="18"/>
          <w:szCs w:val="18"/>
          <w:color w:val="auto"/>
        </w:rPr>
        <w:t>Inventories are stated at the lower of cost and net realizable value using the first-in first-out costing method. Inventories as of December 31, 2023 and 2022 include the costs of material, labor, and factory overhead. Components of inventories consist of the following:</w:t>
      </w:r>
    </w:p>
    <w:p>
      <w:pPr>
        <w:spacing w:after="0" w:line="70"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7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40" w:type="dxa"/>
            <w:vAlign w:val="bottom"/>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16"/>
                <w:szCs w:val="16"/>
                <w:color w:val="auto"/>
              </w:rPr>
            </w:pPr>
          </w:p>
        </w:tc>
      </w:tr>
      <w:tr>
        <w:trPr>
          <w:trHeight w:val="24"/>
        </w:trPr>
        <w:tc>
          <w:tcPr>
            <w:tcW w:w="78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78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020" w:type="dxa"/>
            <w:vAlign w:val="bottom"/>
            <w:shd w:val="clear" w:color="auto" w:fill="CCEEFF"/>
          </w:tcPr>
          <w:p>
            <w:pPr>
              <w:jc w:val="right"/>
              <w:ind w:right="83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14,203</w:t>
            </w:r>
          </w:p>
        </w:tc>
      </w:tr>
      <w:tr>
        <w:trPr>
          <w:trHeight w:val="223"/>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w:t>
            </w:r>
          </w:p>
        </w:tc>
      </w:tr>
      <w:tr>
        <w:trPr>
          <w:trHeight w:val="223"/>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w:t>
            </w:r>
          </w:p>
        </w:tc>
      </w:tr>
      <w:tr>
        <w:trPr>
          <w:trHeight w:val="217"/>
        </w:trPr>
        <w:tc>
          <w:tcPr>
            <w:tcW w:w="7800" w:type="dxa"/>
            <w:vAlign w:val="bottom"/>
          </w:tcPr>
          <w:p>
            <w:pPr>
              <w:spacing w:after="0"/>
              <w:rPr>
                <w:sz w:val="18"/>
                <w:szCs w:val="18"/>
                <w:color w:val="auto"/>
              </w:rPr>
            </w:pPr>
          </w:p>
        </w:tc>
        <w:tc>
          <w:tcPr>
            <w:tcW w:w="1020" w:type="dxa"/>
            <w:vAlign w:val="bottom"/>
            <w:tcBorders>
              <w:bottom w:val="single" w:sz="8" w:color="auto"/>
            </w:tcBorders>
          </w:tcPr>
          <w:p>
            <w:pPr>
              <w:jc w:val="right"/>
              <w:ind w:right="83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19,046</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22,730</w:t>
            </w:r>
          </w:p>
        </w:tc>
      </w:tr>
      <w:tr>
        <w:trPr>
          <w:trHeight w:val="20"/>
        </w:trPr>
        <w:tc>
          <w:tcPr>
            <w:tcW w:w="78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In 2023, the Company recorded a $5,225 inventory write-down relating to the reduced demand for the Company's hardware products. Please see Note 15 for additional details surrounding the future wind-down of the Company's manufacturing activities.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7800" w:type="dxa"/>
            <w:vAlign w:val="bottom"/>
            <w:gridSpan w:val="2"/>
          </w:tcPr>
          <w:p>
            <w:pPr>
              <w:jc w:val="right"/>
              <w:ind w:right="5652"/>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47"/>
        </w:trPr>
        <w:tc>
          <w:tcPr>
            <w:tcW w:w="440" w:type="dxa"/>
            <w:vAlign w:val="bottom"/>
          </w:tcPr>
          <w:p>
            <w:pPr>
              <w:spacing w:after="0"/>
              <w:rPr>
                <w:sz w:val="24"/>
                <w:szCs w:val="24"/>
                <w:color w:val="auto"/>
              </w:rPr>
            </w:pPr>
          </w:p>
        </w:tc>
        <w:tc>
          <w:tcPr>
            <w:tcW w:w="7800" w:type="dxa"/>
            <w:vAlign w:val="bottom"/>
            <w:gridSpan w:val="2"/>
          </w:tcPr>
          <w:p>
            <w:pPr>
              <w:jc w:val="right"/>
              <w:ind w:right="1412"/>
              <w:spacing w:after="0"/>
              <w:rPr>
                <w:sz w:val="20"/>
                <w:szCs w:val="20"/>
                <w:color w:val="auto"/>
              </w:rPr>
            </w:pPr>
            <w:r>
              <w:rPr>
                <w:rFonts w:ascii="Times New Roman" w:cs="Times New Roman" w:eastAsia="Times New Roman" w:hAnsi="Times New Roman"/>
                <w:sz w:val="18"/>
                <w:szCs w:val="18"/>
                <w:color w:val="auto"/>
                <w:w w:val="97"/>
              </w:rPr>
              <w:t>Property and equipment, net, as of December 31, 2023 and 2022 consist of the following:</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92"/>
        </w:trPr>
        <w:tc>
          <w:tcPr>
            <w:tcW w:w="44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24"/>
                <w:szCs w:val="24"/>
                <w:color w:val="auto"/>
              </w:rPr>
            </w:pPr>
          </w:p>
        </w:tc>
      </w:tr>
      <w:tr>
        <w:trPr>
          <w:trHeight w:val="24"/>
        </w:trPr>
        <w:tc>
          <w:tcPr>
            <w:tcW w:w="44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440" w:type="dxa"/>
            <w:vAlign w:val="bottom"/>
            <w:tcBorders>
              <w:bottom w:val="single" w:sz="8" w:color="CCEEFF"/>
            </w:tcBorders>
          </w:tcPr>
          <w:p>
            <w:pPr>
              <w:spacing w:after="0"/>
              <w:rPr>
                <w:sz w:val="16"/>
                <w:szCs w:val="16"/>
                <w:color w:val="auto"/>
              </w:rPr>
            </w:pPr>
          </w:p>
        </w:tc>
        <w:tc>
          <w:tcPr>
            <w:tcW w:w="74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74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w:t>
            </w:r>
          </w:p>
        </w:tc>
      </w:tr>
      <w:tr>
        <w:trPr>
          <w:trHeight w:val="223"/>
        </w:trPr>
        <w:tc>
          <w:tcPr>
            <w:tcW w:w="8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18,869</w:t>
            </w:r>
          </w:p>
        </w:tc>
      </w:tr>
      <w:tr>
        <w:trPr>
          <w:trHeight w:val="223"/>
        </w:trPr>
        <w:tc>
          <w:tcPr>
            <w:tcW w:w="8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23"/>
        </w:trPr>
        <w:tc>
          <w:tcPr>
            <w:tcW w:w="8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Revenue-generating assets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60,984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72,527</w:t>
            </w:r>
          </w:p>
        </w:tc>
      </w:tr>
      <w:tr>
        <w:trPr>
          <w:trHeight w:val="223"/>
        </w:trPr>
        <w:tc>
          <w:tcPr>
            <w:tcW w:w="8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w:t>
            </w:r>
          </w:p>
        </w:tc>
      </w:tr>
      <w:tr>
        <w:trPr>
          <w:trHeight w:val="223"/>
        </w:trPr>
        <w:tc>
          <w:tcPr>
            <w:tcW w:w="8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14,652</w:t>
            </w:r>
          </w:p>
        </w:tc>
      </w:tr>
      <w:tr>
        <w:trPr>
          <w:trHeight w:val="223"/>
        </w:trPr>
        <w:tc>
          <w:tcPr>
            <w:tcW w:w="8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Motor vehicles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7"/>
        </w:trPr>
        <w:tc>
          <w:tcPr>
            <w:tcW w:w="44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103,334</w:t>
            </w: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115,373</w:t>
            </w:r>
          </w:p>
        </w:tc>
      </w:tr>
      <w:tr>
        <w:trPr>
          <w:trHeight w:val="223"/>
        </w:trPr>
        <w:tc>
          <w:tcPr>
            <w:tcW w:w="8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(62,255)</w:t>
            </w:r>
          </w:p>
        </w:tc>
      </w:tr>
      <w:tr>
        <w:trPr>
          <w:trHeight w:val="217"/>
        </w:trPr>
        <w:tc>
          <w:tcPr>
            <w:tcW w:w="44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47,680</w:t>
            </w:r>
          </w:p>
        </w:tc>
        <w:tc>
          <w:tcPr>
            <w:tcW w:w="1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53,118</w:t>
            </w:r>
          </w:p>
        </w:tc>
      </w:tr>
      <w:tr>
        <w:trPr>
          <w:trHeight w:val="20"/>
        </w:trPr>
        <w:tc>
          <w:tcPr>
            <w:tcW w:w="44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2023 and 2022 amounted to $13,204 and $12,909, respectively.</w:t>
      </w:r>
    </w:p>
    <w:p>
      <w:pPr>
        <w:spacing w:after="0" w:line="24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Certain revenue-generating hardware assets are utilized by the Company in the delivery of the Company's airtime services, media, and other content.</w:t>
      </w:r>
    </w:p>
    <w:p>
      <w:pPr>
        <w:spacing w:after="0" w:line="240"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As of December 31, 2023 and 2022, the long-lived tangible assets related to the Company’s international subsidiaries were less than 10% of the Company’s long-lived tangible assets.</w:t>
      </w:r>
    </w:p>
    <w:p>
      <w:pPr>
        <w:spacing w:after="0" w:line="195" w:lineRule="exact"/>
        <w:rPr>
          <w:sz w:val="20"/>
          <w:szCs w:val="20"/>
          <w:color w:val="auto"/>
        </w:rPr>
      </w:pPr>
    </w:p>
    <w:p>
      <w:pPr>
        <w:jc w:val="both"/>
        <w:ind w:firstLine="473"/>
        <w:spacing w:after="0" w:line="303" w:lineRule="auto"/>
        <w:rPr>
          <w:sz w:val="20"/>
          <w:szCs w:val="20"/>
          <w:color w:val="auto"/>
        </w:rPr>
      </w:pPr>
      <w:r>
        <w:rPr>
          <w:rFonts w:ascii="Times New Roman" w:cs="Times New Roman" w:eastAsia="Times New Roman" w:hAnsi="Times New Roman"/>
          <w:sz w:val="16"/>
          <w:szCs w:val="16"/>
          <w:color w:val="auto"/>
        </w:rPr>
        <w:t>As part of the Company's impairment testing during the third quarter of 2023, an internally developed software asset was deemed the primary asset of the asset group known as KVH Media Group. The $383 net asset value was determined to be fully impaired as a result of the review. The movement associated with the impairment is reflected as a component of the office and computer equipment. Please see Note 8 for additional details surrounding the impairment.</w:t>
      </w:r>
    </w:p>
    <w:p>
      <w:pPr>
        <w:spacing w:after="0" w:line="171"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In 2023, there was a $1,534 disposal of property and equipment related to the discontinuation of a project for implementing a new manufacturing-centric accounting system.</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30" w:lineRule="exact"/>
        <w:rPr>
          <w:sz w:val="20"/>
          <w:szCs w:val="20"/>
          <w:color w:val="auto"/>
        </w:rPr>
      </w:pPr>
    </w:p>
    <w:p>
      <w:pPr>
        <w:ind w:left="620" w:hanging="615"/>
        <w:spacing w:after="0"/>
        <w:tabs>
          <w:tab w:leader="none" w:pos="62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42" w:lineRule="exact"/>
        <w:rPr>
          <w:sz w:val="20"/>
          <w:szCs w:val="20"/>
          <w:color w:val="auto"/>
        </w:rPr>
      </w:pPr>
    </w:p>
    <w:p>
      <w:pPr>
        <w:jc w:val="both"/>
        <w:ind w:firstLine="473"/>
        <w:spacing w:after="0" w:line="263" w:lineRule="auto"/>
        <w:rPr>
          <w:sz w:val="20"/>
          <w:szCs w:val="20"/>
          <w:color w:val="auto"/>
        </w:rPr>
      </w:pPr>
      <w:r>
        <w:rPr>
          <w:rFonts w:ascii="Times New Roman" w:cs="Times New Roman" w:eastAsia="Times New Roman" w:hAnsi="Times New Roman"/>
          <w:sz w:val="18"/>
          <w:szCs w:val="18"/>
          <w:color w:val="auto"/>
        </w:rPr>
        <w:t>The Company has certain operating leases and other commitments for satellite capacity, various equipment, and facilities. The following reflects future minimum payments under operating leases and other commitments that have initial or remaining non-cancelable terms at December 31, 2023:</w:t>
      </w:r>
    </w:p>
    <w:tbl>
      <w:tblPr>
        <w:tblLayout w:type="fixed"/>
        <w:tblInd w:w="0" w:type="dxa"/>
        <w:tblCellMar>
          <w:top w:w="0" w:type="dxa"/>
          <w:left w:w="0" w:type="dxa"/>
          <w:bottom w:w="0" w:type="dxa"/>
          <w:right w:w="0" w:type="dxa"/>
        </w:tblCellMar>
      </w:tblPr>
      <w:tr>
        <w:trPr>
          <w:trHeight w:val="156"/>
        </w:trPr>
        <w:tc>
          <w:tcPr>
            <w:tcW w:w="9020" w:type="dxa"/>
            <w:vAlign w:val="bottom"/>
            <w:gridSpan w:val="3"/>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340" w:type="dxa"/>
            <w:vAlign w:val="bottom"/>
          </w:tcPr>
          <w:p>
            <w:pPr>
              <w:spacing w:after="0"/>
              <w:rPr>
                <w:sz w:val="13"/>
                <w:szCs w:val="13"/>
                <w:color w:val="auto"/>
              </w:rPr>
            </w:pPr>
          </w:p>
        </w:tc>
        <w:tc>
          <w:tcPr>
            <w:tcW w:w="1840" w:type="dxa"/>
            <w:vAlign w:val="bottom"/>
          </w:tcPr>
          <w:p>
            <w:pPr>
              <w:jc w:val="right"/>
              <w:ind w:right="475"/>
              <w:spacing w:after="0" w:line="156" w:lineRule="exact"/>
              <w:rPr>
                <w:sz w:val="20"/>
                <w:szCs w:val="20"/>
                <w:color w:val="auto"/>
              </w:rPr>
            </w:pPr>
            <w:r>
              <w:rPr>
                <w:rFonts w:ascii="Times New Roman" w:cs="Times New Roman" w:eastAsia="Times New Roman" w:hAnsi="Times New Roman"/>
                <w:sz w:val="14"/>
                <w:szCs w:val="14"/>
                <w:b w:val="1"/>
                <w:bCs w:val="1"/>
                <w:color w:val="auto"/>
              </w:rPr>
              <w:t>Commitments (a)</w:t>
            </w:r>
          </w:p>
        </w:tc>
      </w:tr>
      <w:tr>
        <w:trPr>
          <w:trHeight w:val="33"/>
        </w:trPr>
        <w:tc>
          <w:tcPr>
            <w:tcW w:w="20" w:type="dxa"/>
            <w:vAlign w:val="bottom"/>
            <w:tcBorders>
              <w:bottom w:val="single" w:sz="8" w:color="CCEEFF"/>
            </w:tcBorders>
          </w:tcPr>
          <w:p>
            <w:pPr>
              <w:spacing w:after="0"/>
              <w:rPr>
                <w:sz w:val="2"/>
                <w:szCs w:val="2"/>
                <w:color w:val="auto"/>
              </w:rPr>
            </w:pPr>
          </w:p>
        </w:tc>
        <w:tc>
          <w:tcPr>
            <w:tcW w:w="1620" w:type="dxa"/>
            <w:vAlign w:val="bottom"/>
            <w:tcBorders>
              <w:top w:val="single" w:sz="8" w:color="auto"/>
              <w:bottom w:val="single" w:sz="8" w:color="CCEEFF"/>
            </w:tcBorders>
          </w:tcPr>
          <w:p>
            <w:pPr>
              <w:spacing w:after="0"/>
              <w:rPr>
                <w:sz w:val="2"/>
                <w:szCs w:val="2"/>
                <w:color w:val="auto"/>
              </w:rPr>
            </w:pPr>
          </w:p>
        </w:tc>
        <w:tc>
          <w:tcPr>
            <w:tcW w:w="7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17"/>
        </w:trPr>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3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30,451</w:t>
            </w:r>
          </w:p>
        </w:tc>
      </w:tr>
      <w:tr>
        <w:trPr>
          <w:trHeight w:val="223"/>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26,875</w:t>
            </w:r>
          </w:p>
        </w:tc>
      </w:tr>
      <w:tr>
        <w:trPr>
          <w:trHeight w:val="223"/>
        </w:trPr>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25,053</w:t>
            </w:r>
          </w:p>
        </w:tc>
      </w:tr>
      <w:tr>
        <w:trPr>
          <w:trHeight w:val="223"/>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3"/>
        </w:trPr>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3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7"/>
        </w:trPr>
        <w:tc>
          <w:tcPr>
            <w:tcW w:w="9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minimum payments</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82,518</w:t>
            </w: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Includes the future minimum lease payments for the Company's operating leases as seen in Note 13.</w:t>
      </w:r>
    </w:p>
    <w:p>
      <w:pPr>
        <w:spacing w:after="0" w:line="242" w:lineRule="exact"/>
        <w:rPr>
          <w:sz w:val="20"/>
          <w:szCs w:val="20"/>
          <w:color w:val="auto"/>
        </w:rPr>
      </w:pPr>
    </w:p>
    <w:p>
      <w:pPr>
        <w:jc w:val="both"/>
        <w:ind w:firstLine="473"/>
        <w:spacing w:after="0" w:line="303" w:lineRule="auto"/>
        <w:rPr>
          <w:sz w:val="20"/>
          <w:szCs w:val="20"/>
          <w:color w:val="auto"/>
        </w:rPr>
      </w:pPr>
      <w:r>
        <w:rPr>
          <w:rFonts w:ascii="Times New Roman" w:cs="Times New Roman" w:eastAsia="Times New Roman" w:hAnsi="Times New Roman"/>
          <w:sz w:val="16"/>
          <w:szCs w:val="16"/>
          <w:color w:val="auto"/>
        </w:rPr>
        <w:t>Total rent expense incurred under facility operating leases for the years ended December 31, 2023 and 2022 amounted to $730 and $829, respectively. Total expense incurred under satellite capacity and equipment operating leases and other commitments for the years ended December 31, 2023 and 2022 amounted to $41,946 and $37,166, respectively, which also includes payments for usage charges in excess of the minimum contractual requirements.</w:t>
      </w:r>
    </w:p>
    <w:p>
      <w:pPr>
        <w:spacing w:after="0" w:line="171"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In the normal course of business, the Company enters into unconditional purchase order obligations with its suppliers for inventory and other operational purchases. Outstanding and unconditional purchase order obligations were $8,363 as of December 31, 2023. The Company has determined that $3,569 of these obligations relate to excess purchase orders and the Company has recorded a purchase obligation accrual which has been charged to costs of product sales, net as of December 31, 2023.</w:t>
      </w:r>
    </w:p>
    <w:p>
      <w:pPr>
        <w:spacing w:after="0" w:line="208"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As of December 31, 2023, the Company had certain satellite service capacity obligations that were not considered operating or financing leases under ASC 842. The Company did not have any off-balance sheet arrangements, guarantees, or standby repurchase obligations as of December 31, 2023.</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30" w:lineRule="exact"/>
        <w:rPr>
          <w:sz w:val="20"/>
          <w:szCs w:val="20"/>
          <w:color w:val="auto"/>
        </w:rPr>
      </w:pPr>
    </w:p>
    <w:p>
      <w:pPr>
        <w:ind w:left="620" w:hanging="615"/>
        <w:spacing w:after="0"/>
        <w:tabs>
          <w:tab w:leader="none" w:pos="62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40" w:lineRule="exact"/>
        <w:rPr>
          <w:sz w:val="20"/>
          <w:szCs w:val="20"/>
          <w:color w:val="auto"/>
        </w:rPr>
      </w:pPr>
    </w:p>
    <w:p>
      <w:pPr>
        <w:jc w:val="both"/>
        <w:ind w:firstLine="473"/>
        <w:spacing w:after="0" w:line="257" w:lineRule="auto"/>
        <w:rPr>
          <w:sz w:val="20"/>
          <w:szCs w:val="20"/>
          <w:color w:val="auto"/>
        </w:rPr>
      </w:pPr>
      <w:r>
        <w:rPr>
          <w:rFonts w:ascii="Times New Roman" w:cs="Times New Roman" w:eastAsia="Times New Roman" w:hAnsi="Times New Roman"/>
          <w:sz w:val="18"/>
          <w:szCs w:val="18"/>
          <w:color w:val="auto"/>
        </w:rPr>
        <w:t xml:space="preserve">The Company recognizes stock-based compensation in accordance with the provisions of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Stock-based compensation expense was $2,044 and $3,320, excluding $34 and $104 of compensation charges related to our Amended and Restated 1996 Employee Stock Purchase Plan, or the ESPP, for the years ended December 31, 2023 and 2022, respectively.</w:t>
      </w:r>
    </w:p>
    <w:p>
      <w:pPr>
        <w:spacing w:after="0" w:line="205" w:lineRule="exact"/>
        <w:rPr>
          <w:sz w:val="20"/>
          <w:szCs w:val="20"/>
          <w:color w:val="auto"/>
        </w:rPr>
      </w:pPr>
    </w:p>
    <w:p>
      <w:pPr>
        <w:jc w:val="both"/>
        <w:ind w:firstLine="473"/>
        <w:spacing w:after="0" w:line="245" w:lineRule="auto"/>
        <w:rPr>
          <w:sz w:val="20"/>
          <w:szCs w:val="20"/>
          <w:color w:val="auto"/>
        </w:rPr>
      </w:pPr>
      <w:r>
        <w:rPr>
          <w:rFonts w:ascii="Times New Roman" w:cs="Times New Roman" w:eastAsia="Times New Roman" w:hAnsi="Times New Roman"/>
          <w:sz w:val="18"/>
          <w:szCs w:val="18"/>
          <w:color w:val="auto"/>
        </w:rPr>
        <w:t>The Company is authorized to grant stock options, restricted stock awards and other stock-based awards under its Amended and Restated 2016 Equity and Incentive Plan (the 2016 Plan) with respect to up to 6,080 shares of common stock (excluding rollover shares), an increase of 1,280 shares reserved for issuance under the previous 2016 Plan as approved by our shareholders on June 8, 2022. Options have generally been granted with an exercise price equal to the fair market value of the common stock on the date of grant and have generally provided for vesting in equal annual amounts over four years beginning on the first anniversary of the date of the grant. No options are exercisable for periods of more than five years after date of grant. Under the 2016 Plan, each share issued under awards other than options and stock appreciation rights will reduce the number of shares reserved for issuance by two shares. Shares issued under options or stock appreciation rights will reduce the shares reserved for issuance on a share-for-share basis. The Company accounts for forfeitures as they occur. The 2016 Plan and earlier equity compensation plans, pursuant to which an aggregate of 15,495 shares of the Company’s common stock were reserved for issuance, were all approved by the Company's shareholders. As of December 31, 2023, 1,469 shares were available for future grants. The Compensation Committee of the Board of Directors administers the equity compensation plans, approves the individuals to whom awards will be granted and determines the number of shares and other terms of each award. Outstanding options under the Company's equity compensation plans at December 31, 2023 expire from April 2024 through March 2028. None of the Company’s outstanding options includes performance-based or market-based vesting conditions as of December 31, 2023.</w:t>
      </w:r>
    </w:p>
    <w:p>
      <w:pPr>
        <w:spacing w:after="0" w:line="220" w:lineRule="exact"/>
        <w:rPr>
          <w:sz w:val="20"/>
          <w:szCs w:val="20"/>
          <w:color w:val="auto"/>
        </w:rPr>
      </w:pPr>
    </w:p>
    <w:p>
      <w:pPr>
        <w:ind w:left="560" w:hanging="318"/>
        <w:spacing w:after="0"/>
        <w:tabs>
          <w:tab w:leader="none" w:pos="5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Employee Stock Options</w:t>
      </w:r>
    </w:p>
    <w:p>
      <w:pPr>
        <w:spacing w:after="0" w:line="244" w:lineRule="exact"/>
        <w:rPr>
          <w:sz w:val="20"/>
          <w:szCs w:val="20"/>
          <w:color w:val="auto"/>
        </w:rPr>
      </w:pPr>
    </w:p>
    <w:p>
      <w:pPr>
        <w:jc w:val="both"/>
        <w:ind w:firstLine="473"/>
        <w:spacing w:after="0" w:line="248" w:lineRule="auto"/>
        <w:rPr>
          <w:sz w:val="20"/>
          <w:szCs w:val="20"/>
          <w:color w:val="auto"/>
        </w:rPr>
      </w:pPr>
      <w:r>
        <w:rPr>
          <w:rFonts w:ascii="Times New Roman" w:cs="Times New Roman" w:eastAsia="Times New Roman" w:hAnsi="Times New Roman"/>
          <w:sz w:val="18"/>
          <w:szCs w:val="18"/>
          <w:color w:val="auto"/>
        </w:rPr>
        <w:t>The Company has estimated the fair value of each option grant on the date of grant using the Black-Scholes option-pricing model. The expected volatility assumption is based on the historical daily price data of the Company’s common stock over a period equivalent to the weighted average expected life of the Company’s options. The expected term of options granted is derived using assumed exercise rates based on historical exercise patterns and represents the period of time the options granted are expected to be outstanding. The risk-free interest rate is based on the actual U.S. Treasury zero-coupon rates for bonds matching the expected term of the option as of the option grant date. The dividend yield of zero is based upon the fact that the Company has not historically declared or paid cash dividends, and does not expect to declare or pay dividends in the foreseeable future.</w:t>
      </w:r>
    </w:p>
    <w:p>
      <w:pPr>
        <w:spacing w:after="0" w:line="215"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The per share weighted-average fair values of stock options granted during 2023 and 2022 were $4.06 and $3.13, respectively. The weighted-average assumptions used to value options as of their grant date were as follows:</w:t>
      </w:r>
    </w:p>
    <w:p>
      <w:pPr>
        <w:spacing w:after="0" w:line="72" w:lineRule="exact"/>
        <w:rPr>
          <w:sz w:val="20"/>
          <w:szCs w:val="20"/>
          <w:color w:val="auto"/>
        </w:rPr>
      </w:pPr>
    </w:p>
    <w:p>
      <w:pPr>
        <w:jc w:val="center"/>
        <w:ind w:left="784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78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94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7"/>
                <w:szCs w:val="17"/>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3.02 %</w:t>
            </w:r>
          </w:p>
        </w:tc>
        <w:tc>
          <w:tcPr>
            <w:tcW w:w="80" w:type="dxa"/>
            <w:vAlign w:val="bottom"/>
          </w:tcPr>
          <w:p>
            <w:pPr>
              <w:spacing w:after="0"/>
              <w:rPr>
                <w:sz w:val="19"/>
                <w:szCs w:val="19"/>
                <w:color w:val="auto"/>
              </w:rPr>
            </w:pPr>
          </w:p>
        </w:tc>
      </w:tr>
      <w:tr>
        <w:trPr>
          <w:trHeight w:val="223"/>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43.93 %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43.19 %</w:t>
            </w:r>
          </w:p>
        </w:tc>
        <w:tc>
          <w:tcPr>
            <w:tcW w:w="80" w:type="dxa"/>
            <w:vAlign w:val="bottom"/>
          </w:tcPr>
          <w:p>
            <w:pPr>
              <w:spacing w:after="0"/>
              <w:rPr>
                <w:sz w:val="19"/>
                <w:szCs w:val="19"/>
                <w:color w:val="auto"/>
              </w:rPr>
            </w:pPr>
          </w:p>
        </w:tc>
      </w:tr>
      <w:tr>
        <w:trPr>
          <w:trHeight w:val="223"/>
        </w:trPr>
        <w:tc>
          <w:tcPr>
            <w:tcW w:w="8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Pr>
          <w:p>
            <w:pPr>
              <w:spacing w:after="0"/>
              <w:rPr>
                <w:sz w:val="19"/>
                <w:szCs w:val="19"/>
                <w:color w:val="auto"/>
              </w:rPr>
            </w:pPr>
          </w:p>
        </w:tc>
      </w:tr>
      <w:tr>
        <w:trPr>
          <w:trHeight w:val="228"/>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Pr>
          <w:p>
            <w:pPr>
              <w:spacing w:after="0"/>
              <w:rPr>
                <w:sz w:val="19"/>
                <w:szCs w:val="19"/>
                <w:color w:val="auto"/>
              </w:rPr>
            </w:pPr>
          </w:p>
        </w:tc>
      </w:tr>
      <w:tr>
        <w:trPr>
          <w:trHeight w:val="862"/>
        </w:trPr>
        <w:tc>
          <w:tcPr>
            <w:tcW w:w="79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62</w:t>
            </w: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2"/>
        </w:trPr>
        <w:tc>
          <w:tcPr>
            <w:tcW w:w="79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changes in outstanding stock options for the year ended December 31, 2023 and 2022 are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3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174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2"/>
                <w:szCs w:val="12"/>
                <w:color w:val="auto"/>
              </w:rPr>
            </w:pPr>
          </w:p>
        </w:tc>
        <w:tc>
          <w:tcPr>
            <w:tcW w:w="1460" w:type="dxa"/>
            <w:vAlign w:val="bottom"/>
            <w:vMerge w:val="restart"/>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9"/>
              </w:rPr>
              <w:t>Aggregate Intrinsic</w:t>
            </w:r>
          </w:p>
        </w:tc>
        <w:tc>
          <w:tcPr>
            <w:tcW w:w="0" w:type="dxa"/>
            <w:vAlign w:val="bottom"/>
          </w:tcPr>
          <w:p>
            <w:pPr>
              <w:spacing w:after="0"/>
              <w:rPr>
                <w:sz w:val="1"/>
                <w:szCs w:val="1"/>
                <w:color w:val="auto"/>
              </w:rPr>
            </w:pPr>
          </w:p>
        </w:tc>
      </w:tr>
      <w:tr>
        <w:trPr>
          <w:trHeight w:val="143"/>
        </w:trPr>
        <w:tc>
          <w:tcPr>
            <w:tcW w:w="4320" w:type="dxa"/>
            <w:vAlign w:val="bottom"/>
          </w:tcPr>
          <w:p>
            <w:pPr>
              <w:spacing w:after="0"/>
              <w:rPr>
                <w:sz w:val="12"/>
                <w:szCs w:val="12"/>
                <w:color w:val="auto"/>
              </w:rPr>
            </w:pPr>
          </w:p>
        </w:tc>
        <w:tc>
          <w:tcPr>
            <w:tcW w:w="17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2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74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18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320" w:type="dxa"/>
            <w:vAlign w:val="bottom"/>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(in Years)</w:t>
            </w:r>
          </w:p>
        </w:tc>
        <w:tc>
          <w:tcPr>
            <w:tcW w:w="180" w:type="dxa"/>
            <w:vAlign w:val="bottom"/>
          </w:tcPr>
          <w:p>
            <w:pPr>
              <w:spacing w:after="0"/>
              <w:rPr>
                <w:sz w:val="16"/>
                <w:szCs w:val="16"/>
                <w:color w:val="auto"/>
              </w:rPr>
            </w:pPr>
          </w:p>
        </w:tc>
        <w:tc>
          <w:tcPr>
            <w:tcW w:w="14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2"/>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Expired, canceled or forfeited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vMerge w:val="continue"/>
          </w:tcPr>
          <w:p>
            <w:pPr>
              <w:spacing w:after="0"/>
              <w:rPr>
                <w:sz w:val="17"/>
                <w:szCs w:val="17"/>
                <w:color w:val="auto"/>
              </w:rPr>
            </w:pPr>
          </w:p>
        </w:tc>
        <w:tc>
          <w:tcPr>
            <w:tcW w:w="1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9.56</w:t>
            </w:r>
          </w:p>
        </w:tc>
        <w:tc>
          <w:tcPr>
            <w:tcW w:w="120" w:type="dxa"/>
            <w:vAlign w:val="bottom"/>
          </w:tcPr>
          <w:p>
            <w:pPr>
              <w:spacing w:after="0"/>
              <w:rPr>
                <w:sz w:val="17"/>
                <w:szCs w:val="17"/>
                <w:color w:val="auto"/>
              </w:rPr>
            </w:pPr>
          </w:p>
        </w:tc>
        <w:tc>
          <w:tcPr>
            <w:tcW w:w="1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vested or expected to vest at December 31, 2023</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4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43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174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2"/>
                <w:szCs w:val="12"/>
                <w:color w:val="auto"/>
              </w:rPr>
            </w:pPr>
          </w:p>
        </w:tc>
        <w:tc>
          <w:tcPr>
            <w:tcW w:w="1460" w:type="dxa"/>
            <w:vAlign w:val="bottom"/>
            <w:vMerge w:val="restart"/>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9"/>
              </w:rPr>
              <w:t>Aggregate Intrinsic</w:t>
            </w:r>
          </w:p>
        </w:tc>
        <w:tc>
          <w:tcPr>
            <w:tcW w:w="0" w:type="dxa"/>
            <w:vAlign w:val="bottom"/>
          </w:tcPr>
          <w:p>
            <w:pPr>
              <w:spacing w:after="0"/>
              <w:rPr>
                <w:sz w:val="1"/>
                <w:szCs w:val="1"/>
                <w:color w:val="auto"/>
              </w:rPr>
            </w:pPr>
          </w:p>
        </w:tc>
      </w:tr>
      <w:tr>
        <w:trPr>
          <w:trHeight w:val="145"/>
        </w:trPr>
        <w:tc>
          <w:tcPr>
            <w:tcW w:w="4320" w:type="dxa"/>
            <w:vAlign w:val="bottom"/>
          </w:tcPr>
          <w:p>
            <w:pPr>
              <w:spacing w:after="0"/>
              <w:rPr>
                <w:sz w:val="12"/>
                <w:szCs w:val="12"/>
                <w:color w:val="auto"/>
              </w:rPr>
            </w:pPr>
          </w:p>
        </w:tc>
        <w:tc>
          <w:tcPr>
            <w:tcW w:w="17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2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74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18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320" w:type="dxa"/>
            <w:vAlign w:val="bottom"/>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(in Years)</w:t>
            </w:r>
          </w:p>
        </w:tc>
        <w:tc>
          <w:tcPr>
            <w:tcW w:w="180" w:type="dxa"/>
            <w:vAlign w:val="bottom"/>
          </w:tcPr>
          <w:p>
            <w:pPr>
              <w:spacing w:after="0"/>
              <w:rPr>
                <w:sz w:val="16"/>
                <w:szCs w:val="16"/>
                <w:color w:val="auto"/>
              </w:rPr>
            </w:pPr>
          </w:p>
        </w:tc>
        <w:tc>
          <w:tcPr>
            <w:tcW w:w="14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2"/>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Expired, canceled or forfeited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2022</w:t>
            </w: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vMerge w:val="continue"/>
          </w:tcPr>
          <w:p>
            <w:pPr>
              <w:spacing w:after="0"/>
              <w:rPr>
                <w:sz w:val="17"/>
                <w:szCs w:val="17"/>
                <w:color w:val="auto"/>
              </w:rPr>
            </w:pPr>
          </w:p>
        </w:tc>
        <w:tc>
          <w:tcPr>
            <w:tcW w:w="1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939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9.98</w:t>
            </w:r>
          </w:p>
        </w:tc>
        <w:tc>
          <w:tcPr>
            <w:tcW w:w="120" w:type="dxa"/>
            <w:vAlign w:val="bottom"/>
          </w:tcPr>
          <w:p>
            <w:pPr>
              <w:spacing w:after="0"/>
              <w:rPr>
                <w:sz w:val="17"/>
                <w:szCs w:val="17"/>
                <w:color w:val="auto"/>
              </w:rPr>
            </w:pPr>
          </w:p>
        </w:tc>
        <w:tc>
          <w:tcPr>
            <w:tcW w:w="1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vested or expected to vest at December 31, 2022</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total aggregate intrinsic value of options exercised was $542 and $387 in 2023 and 2022, respectively.</w:t>
      </w:r>
    </w:p>
    <w:p>
      <w:pPr>
        <w:spacing w:after="0" w:line="240"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As of December 31, 2023, there was $2,023 of total unrecognized compensation expense related to stock options, which is expected to be recognized over a weighted-average period of 2.41 years. In 2023 and 2022, the Company recorded compensation charges of $774 and $1,023, respectively, related to stock options. Compensation costs for options subject only to service conditions that vest ratably are recognized on a straight-line basis over the requisite service period for the entire award. During 2023 and 2022, cash received under stock option plans for exercises was $2,480 and $664, respectively.</w:t>
      </w:r>
    </w:p>
    <w:p>
      <w:pPr>
        <w:spacing w:after="0" w:line="2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 Restricted Stock</w:t>
      </w:r>
    </w:p>
    <w:p>
      <w:pPr>
        <w:spacing w:after="0" w:line="244" w:lineRule="exact"/>
        <w:rPr>
          <w:sz w:val="20"/>
          <w:szCs w:val="20"/>
          <w:color w:val="auto"/>
        </w:rPr>
      </w:pPr>
    </w:p>
    <w:p>
      <w:pPr>
        <w:jc w:val="both"/>
        <w:ind w:firstLine="473"/>
        <w:spacing w:after="0" w:line="248" w:lineRule="auto"/>
        <w:rPr>
          <w:sz w:val="20"/>
          <w:szCs w:val="20"/>
          <w:color w:val="auto"/>
        </w:rPr>
      </w:pPr>
      <w:r>
        <w:rPr>
          <w:rFonts w:ascii="Times New Roman" w:cs="Times New Roman" w:eastAsia="Times New Roman" w:hAnsi="Times New Roman"/>
          <w:sz w:val="18"/>
          <w:szCs w:val="18"/>
          <w:color w:val="auto"/>
        </w:rPr>
        <w:t>The Company granted 217 and 249 restricted stock awards to employees under the terms of the 2016 Plan for the years ended December 31, 2023 and 2022, respectively. The restricted stock awards have generally provided for vesting annually over four years from the date of grant subject to the recipient remaining an employee through the applicable vesting dates. Compensation expense for restricted stock awards is measured at fair value on the date of grant based on the number of shares granted and the quoted market closing price of the Company’s common stock. Such value is recognized as expense over the vesting period of the award, net of forfeitures. The weighted-average grant-date fair value of restricted stock granted during 2023 and 2022 was $9.49 and $8.51 per share, respectively.</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32"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As of December 31, 2023, there was $2,567 of total unrecognized compensation expense related to restricted stock awards, which is expected to be recognized over a weighted-average period of 2.34 years. Compensation costs for awards subject only to service conditions that vest ratably are recognized on a straight-line basis over the requisite service period for the entire award. Compensation cost for awards initially subject to certain performance conditions are recognized on a ratable basis over the requisite service period for the entire award. In 2023 and 2022, the Company recorded compensation charges of $1,270 and $2,297, respectively, related to restricted stock awards.</w:t>
      </w:r>
    </w:p>
    <w:p>
      <w:pPr>
        <w:spacing w:after="0" w:line="2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Restricted stock activity under the 2016 Plan for 2023 is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0" w:type="dxa"/>
            <w:vAlign w:val="bottom"/>
          </w:tcPr>
          <w:p>
            <w:pPr>
              <w:spacing w:after="0"/>
              <w:rPr>
                <w:sz w:val="1"/>
                <w:szCs w:val="1"/>
                <w:color w:val="auto"/>
              </w:rPr>
            </w:pPr>
          </w:p>
        </w:tc>
      </w:tr>
      <w:tr>
        <w:trPr>
          <w:trHeight w:val="143"/>
        </w:trPr>
        <w:tc>
          <w:tcPr>
            <w:tcW w:w="8240" w:type="dxa"/>
            <w:vAlign w:val="bottom"/>
          </w:tcPr>
          <w:p>
            <w:pPr>
              <w:spacing w:after="0"/>
              <w:rPr>
                <w:sz w:val="12"/>
                <w:szCs w:val="12"/>
                <w:color w:val="auto"/>
              </w:rPr>
            </w:pPr>
          </w:p>
        </w:tc>
        <w:tc>
          <w:tcPr>
            <w:tcW w:w="1440" w:type="dxa"/>
            <w:vAlign w:val="bottom"/>
            <w:vMerge w:val="restart"/>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center"/>
              <w:ind w:right="180"/>
              <w:spacing w:after="0" w:line="14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5"/>
        </w:trPr>
        <w:tc>
          <w:tcPr>
            <w:tcW w:w="82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w w:val="96"/>
              </w:rPr>
              <w:t>grant date</w:t>
            </w:r>
          </w:p>
        </w:tc>
        <w:tc>
          <w:tcPr>
            <w:tcW w:w="0" w:type="dxa"/>
            <w:vAlign w:val="bottom"/>
          </w:tcPr>
          <w:p>
            <w:pPr>
              <w:spacing w:after="0"/>
              <w:rPr>
                <w:sz w:val="1"/>
                <w:szCs w:val="1"/>
                <w:color w:val="auto"/>
              </w:rPr>
            </w:pPr>
          </w:p>
        </w:tc>
      </w:tr>
      <w:tr>
        <w:trPr>
          <w:trHeight w:val="192"/>
        </w:trPr>
        <w:tc>
          <w:tcPr>
            <w:tcW w:w="824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fair value</w:t>
            </w:r>
          </w:p>
        </w:tc>
        <w:tc>
          <w:tcPr>
            <w:tcW w:w="0" w:type="dxa"/>
            <w:vAlign w:val="bottom"/>
          </w:tcPr>
          <w:p>
            <w:pPr>
              <w:spacing w:after="0"/>
              <w:rPr>
                <w:sz w:val="1"/>
                <w:szCs w:val="1"/>
                <w:color w:val="auto"/>
              </w:rPr>
            </w:pPr>
          </w:p>
        </w:tc>
      </w:tr>
      <w:tr>
        <w:trPr>
          <w:trHeight w:val="22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 unvested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0" w:type="dxa"/>
            <w:vAlign w:val="bottom"/>
          </w:tcPr>
          <w:p>
            <w:pPr>
              <w:spacing w:after="0"/>
              <w:rPr>
                <w:sz w:val="1"/>
                <w:szCs w:val="1"/>
                <w:color w:val="auto"/>
              </w:rPr>
            </w:pPr>
          </w:p>
        </w:tc>
      </w:tr>
      <w:tr>
        <w:trPr>
          <w:trHeight w:val="223"/>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242"/>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 unvested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360" w:type="dxa"/>
            <w:vAlign w:val="bottom"/>
            <w:tcBorders>
              <w:bottom w:val="single" w:sz="8" w:color="CCEEFF"/>
            </w:tcBorders>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  Common Stock Repurchase</w:t>
      </w:r>
    </w:p>
    <w:p>
      <w:pPr>
        <w:spacing w:after="0" w:line="244"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During the twelve months ended December 31, 2023, the Company’s Board of Directors authorized the repurchase of a portion of executive common stock. The Company repurchased 23 shares of common stock held by executives at the Company to satisfy minimum tax withholding obligations in lieu of cash payment. No shares of common stock were repurchased during the twelve months ended December 31, 2022.</w:t>
      </w: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 Employee Stock Purchase Plan</w:t>
      </w:r>
    </w:p>
    <w:p>
      <w:pPr>
        <w:spacing w:after="0" w:line="244"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Under the Company's ESPP, an aggregate of 1,650 shares of common stock have been reserved for issuance, of which 763 shares remain available as of December 31, 2023.</w:t>
      </w:r>
    </w:p>
    <w:p>
      <w:pPr>
        <w:spacing w:after="0" w:line="195" w:lineRule="exact"/>
        <w:rPr>
          <w:sz w:val="20"/>
          <w:szCs w:val="20"/>
          <w:color w:val="auto"/>
        </w:rPr>
      </w:pPr>
    </w:p>
    <w:p>
      <w:pPr>
        <w:jc w:val="both"/>
        <w:ind w:firstLine="473"/>
        <w:spacing w:after="0" w:line="247" w:lineRule="auto"/>
        <w:rPr>
          <w:sz w:val="20"/>
          <w:szCs w:val="20"/>
          <w:color w:val="auto"/>
        </w:rPr>
      </w:pPr>
      <w:r>
        <w:rPr>
          <w:rFonts w:ascii="Times New Roman" w:cs="Times New Roman" w:eastAsia="Times New Roman" w:hAnsi="Times New Roman"/>
          <w:sz w:val="18"/>
          <w:szCs w:val="18"/>
          <w:color w:val="auto"/>
        </w:rPr>
        <w:t>The ESPP covers all of the Company’s employees. Under the terms of the ESPP, eligible employees can elect to have up to six percent of their pre-tax compensation withheld to purchase shares of the Company’s common stock on a semi-annual basis at 85% of the market price on the first or last day of each purchase period, whichever is lower. During 2023 and 2022, shares issued under this plan were 17 and 41 shares, respectively. The Company utilizes the Black-Scholes option-pricing model to calculate the fair value of these discounted purchases. The fair value of the 15% discount is recognized as compensation expense over the purchase period. The Company applies a graded vesting approach because the ESPP provides for multiple purchase periods and is, in substance, a series of linked awards. In 2023 and 2022, the Company recorded compensation charges of $34 and $104, respectively, related to the ESPP. During 2023 and 2022, cash received under the ESPP was $124 and $308, respectively.</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  Stock-Based Compensation Expense</w:t>
      </w:r>
    </w:p>
    <w:p>
      <w:pPr>
        <w:spacing w:after="0" w:line="218"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The following presents stock-based compensation expense, including expense for the ESPP, in the Company's consolidated statements of operations for the years ended December 31, 2023 and 2022.</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
        </w:trPr>
        <w:tc>
          <w:tcPr>
            <w:tcW w:w="82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90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 sales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marketing and support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r>
      <w:tr>
        <w:trPr>
          <w:trHeight w:val="217"/>
        </w:trPr>
        <w:tc>
          <w:tcPr>
            <w:tcW w:w="8280" w:type="dxa"/>
            <w:vAlign w:val="bottom"/>
          </w:tcPr>
          <w:p>
            <w:pPr>
              <w:spacing w:after="0"/>
              <w:rPr>
                <w:sz w:val="18"/>
                <w:szCs w:val="18"/>
                <w:color w:val="auto"/>
              </w:rPr>
            </w:pPr>
          </w:p>
        </w:tc>
        <w:tc>
          <w:tcPr>
            <w:tcW w:w="900" w:type="dxa"/>
            <w:vAlign w:val="bottom"/>
            <w:tcBorders>
              <w:bottom w:val="single" w:sz="8" w:color="auto"/>
            </w:tcBorders>
          </w:tcPr>
          <w:p>
            <w:pPr>
              <w:jc w:val="right"/>
              <w:ind w:right="71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2,078</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3,424</w:t>
            </w:r>
          </w:p>
        </w:tc>
      </w:tr>
      <w:tr>
        <w:trPr>
          <w:trHeight w:val="20"/>
        </w:trPr>
        <w:tc>
          <w:tcPr>
            <w:tcW w:w="8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 Accumulated Other Comprehensive Loss (AOCL)</w:t>
      </w:r>
    </w:p>
    <w:p>
      <w:pPr>
        <w:spacing w:after="0" w:line="244"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Comprehensive income (loss) includes net income (loss) and unrealized gains and losses from foreign currency translation. The components of the Company’s comprehensive income (loss) and the effect on earnings for the periods presented are detailed in the accompanying consolidated statements of comprehensive income (loss).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3"/>
          <w:szCs w:val="13"/>
          <w:b w:val="1"/>
          <w:bCs w:val="1"/>
          <w:color w:val="auto"/>
        </w:rPr>
        <w:t>Foreign Currency</w:t>
      </w:r>
    </w:p>
    <w:p>
      <w:pPr>
        <w:spacing w:after="0" w:line="13"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Translation</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420" w:type="dxa"/>
            <w:vAlign w:val="bottom"/>
            <w:vMerge w:val="restart"/>
          </w:tcPr>
          <w:p>
            <w:pPr>
              <w:jc w:val="center"/>
              <w:ind w:left="50"/>
              <w:spacing w:after="0"/>
              <w:rPr>
                <w:sz w:val="20"/>
                <w:szCs w:val="20"/>
                <w:color w:val="auto"/>
              </w:rPr>
            </w:pPr>
            <w:r>
              <w:rPr>
                <w:rFonts w:ascii="Times New Roman" w:cs="Times New Roman" w:eastAsia="Times New Roman" w:hAnsi="Times New Roman"/>
                <w:sz w:val="14"/>
                <w:szCs w:val="14"/>
                <w:b w:val="1"/>
                <w:bCs w:val="1"/>
                <w:color w:val="auto"/>
                <w:w w:val="99"/>
              </w:rPr>
              <w:t>Total Accumulated</w:t>
            </w:r>
          </w:p>
        </w:tc>
        <w:tc>
          <w:tcPr>
            <w:tcW w:w="0" w:type="dxa"/>
            <w:vAlign w:val="bottom"/>
          </w:tcPr>
          <w:p>
            <w:pPr>
              <w:spacing w:after="0"/>
              <w:rPr>
                <w:sz w:val="1"/>
                <w:szCs w:val="1"/>
                <w:color w:val="auto"/>
              </w:rPr>
            </w:pPr>
          </w:p>
        </w:tc>
      </w:tr>
      <w:tr>
        <w:trPr>
          <w:trHeight w:val="143"/>
        </w:trPr>
        <w:tc>
          <w:tcPr>
            <w:tcW w:w="1320" w:type="dxa"/>
            <w:vAlign w:val="bottom"/>
          </w:tcPr>
          <w:p>
            <w:pPr>
              <w:jc w:val="center"/>
              <w:ind w:right="30"/>
              <w:spacing w:after="0" w:line="143" w:lineRule="exact"/>
              <w:rPr>
                <w:sz w:val="20"/>
                <w:szCs w:val="20"/>
                <w:color w:val="auto"/>
              </w:rPr>
            </w:pPr>
            <w:r>
              <w:rPr>
                <w:rFonts w:ascii="Times New Roman" w:cs="Times New Roman" w:eastAsia="Times New Roman" w:hAnsi="Times New Roman"/>
                <w:sz w:val="14"/>
                <w:szCs w:val="14"/>
                <w:b w:val="1"/>
                <w:bCs w:val="1"/>
                <w:color w:val="auto"/>
                <w:w w:val="99"/>
              </w:rPr>
              <w:t>Income on Available</w:t>
            </w: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320" w:type="dxa"/>
            <w:vAlign w:val="bottom"/>
          </w:tcPr>
          <w:p>
            <w:pPr>
              <w:jc w:val="center"/>
              <w:ind w:right="50"/>
              <w:spacing w:after="0" w:line="145" w:lineRule="exact"/>
              <w:rPr>
                <w:sz w:val="20"/>
                <w:szCs w:val="20"/>
                <w:color w:val="auto"/>
              </w:rPr>
            </w:pPr>
            <w:r>
              <w:rPr>
                <w:rFonts w:ascii="Times New Roman" w:cs="Times New Roman" w:eastAsia="Times New Roman" w:hAnsi="Times New Roman"/>
                <w:sz w:val="14"/>
                <w:szCs w:val="14"/>
                <w:b w:val="1"/>
                <w:bCs w:val="1"/>
                <w:color w:val="auto"/>
              </w:rPr>
              <w:t>for Sale Marketable</w:t>
            </w:r>
          </w:p>
        </w:tc>
        <w:tc>
          <w:tcPr>
            <w:tcW w:w="1420" w:type="dxa"/>
            <w:vAlign w:val="bottom"/>
          </w:tcPr>
          <w:p>
            <w:pPr>
              <w:jc w:val="center"/>
              <w:ind w:left="3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Other Comprehensive</w:t>
            </w:r>
          </w:p>
        </w:tc>
        <w:tc>
          <w:tcPr>
            <w:tcW w:w="0" w:type="dxa"/>
            <w:vAlign w:val="bottom"/>
          </w:tcPr>
          <w:p>
            <w:pPr>
              <w:spacing w:after="0"/>
              <w:rPr>
                <w:sz w:val="1"/>
                <w:szCs w:val="1"/>
                <w:color w:val="auto"/>
              </w:rPr>
            </w:pPr>
          </w:p>
        </w:tc>
      </w:tr>
      <w:tr>
        <w:trPr>
          <w:trHeight w:val="185"/>
        </w:trPr>
        <w:tc>
          <w:tcPr>
            <w:tcW w:w="132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420" w:type="dxa"/>
            <w:vAlign w:val="bottom"/>
          </w:tcPr>
          <w:p>
            <w:pPr>
              <w:jc w:val="center"/>
              <w:ind w:left="5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0" w:type="dxa"/>
            <w:vAlign w:val="bottom"/>
          </w:tcPr>
          <w:p>
            <w:pPr>
              <w:spacing w:after="0"/>
              <w:rPr>
                <w:sz w:val="1"/>
                <w:szCs w:val="1"/>
                <w:color w:val="auto"/>
              </w:rPr>
            </w:pPr>
          </w:p>
        </w:tc>
      </w:tr>
    </w:tbl>
    <w:p>
      <w:pPr>
        <w:spacing w:after="0" w:line="2" w:lineRule="exact"/>
        <w:rPr>
          <w:sz w:val="20"/>
          <w:szCs w:val="20"/>
          <w:color w:val="auto"/>
        </w:rPr>
      </w:pPr>
    </w:p>
    <w:p>
      <w:pPr>
        <w:sectPr>
          <w:pgSz w:w="11900" w:h="16838" w:orient="portrait"/>
          <w:cols w:equalWidth="0" w:num="2">
            <w:col w:w="8100" w:space="340"/>
            <w:col w:w="28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7"/>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500" w:type="dxa"/>
            <w:vAlign w:val="bottom"/>
            <w:tcBorders>
              <w:top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(3,409)</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shd w:val="clear" w:color="auto" w:fill="CCEEFF"/>
          </w:tcPr>
          <w:p>
            <w:pPr>
              <w:jc w:val="center"/>
              <w:ind w:left="372"/>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(3,409)</w:t>
            </w:r>
          </w:p>
        </w:tc>
      </w:tr>
      <w:tr>
        <w:trPr>
          <w:trHeight w:val="223"/>
        </w:trPr>
        <w:tc>
          <w:tcPr>
            <w:tcW w:w="68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332"/>
              <w:spacing w:after="0"/>
              <w:rPr>
                <w:sz w:val="20"/>
                <w:szCs w:val="20"/>
                <w:color w:val="auto"/>
              </w:rPr>
            </w:pPr>
            <w:r>
              <w:rPr>
                <w:rFonts w:ascii="Times New Roman" w:cs="Times New Roman" w:eastAsia="Times New Roman" w:hAnsi="Times New Roman"/>
                <w:sz w:val="18"/>
                <w:szCs w:val="18"/>
                <w:color w:val="auto"/>
                <w:w w:val="99"/>
              </w:rPr>
              <w:t>(12)</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17"/>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other comprehensive loss</w:t>
            </w:r>
          </w:p>
        </w:tc>
        <w:tc>
          <w:tcPr>
            <w:tcW w:w="5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center"/>
              <w:ind w:left="332"/>
              <w:spacing w:after="0"/>
              <w:rPr>
                <w:sz w:val="20"/>
                <w:szCs w:val="20"/>
                <w:color w:val="auto"/>
              </w:rPr>
            </w:pPr>
            <w:r>
              <w:rPr>
                <w:rFonts w:ascii="Times New Roman" w:cs="Times New Roman" w:eastAsia="Times New Roman" w:hAnsi="Times New Roman"/>
                <w:sz w:val="18"/>
                <w:szCs w:val="18"/>
                <w:color w:val="auto"/>
                <w:w w:val="99"/>
              </w:rPr>
              <w:t>(12)</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17"/>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(4,098)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jc w:val="center"/>
              <w:ind w:left="332"/>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(4,110)</w:t>
            </w:r>
          </w:p>
        </w:tc>
      </w:tr>
      <w:tr>
        <w:trPr>
          <w:trHeight w:val="223"/>
        </w:trPr>
        <w:tc>
          <w:tcPr>
            <w:tcW w:w="6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center"/>
              <w:ind w:left="372"/>
              <w:spacing w:after="0"/>
              <w:rPr>
                <w:sz w:val="20"/>
                <w:szCs w:val="20"/>
                <w:color w:val="auto"/>
              </w:rPr>
            </w:pPr>
            <w:r>
              <w:rPr>
                <w:rFonts w:ascii="Times New Roman" w:cs="Times New Roman" w:eastAsia="Times New Roman" w:hAnsi="Times New Roman"/>
                <w:sz w:val="18"/>
                <w:szCs w:val="18"/>
                <w:color w:val="auto"/>
                <w:w w:val="99"/>
              </w:rPr>
              <w:t>12</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7"/>
        </w:trPr>
        <w:tc>
          <w:tcPr>
            <w:tcW w:w="6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other comprehensive (loss) income</w:t>
            </w: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left="372"/>
              <w:spacing w:after="0"/>
              <w:rPr>
                <w:sz w:val="20"/>
                <w:szCs w:val="20"/>
                <w:color w:val="auto"/>
              </w:rPr>
            </w:pPr>
            <w:r>
              <w:rPr>
                <w:rFonts w:ascii="Times New Roman" w:cs="Times New Roman" w:eastAsia="Times New Roman" w:hAnsi="Times New Roman"/>
                <w:sz w:val="18"/>
                <w:szCs w:val="18"/>
                <w:color w:val="auto"/>
                <w:w w:val="99"/>
              </w:rPr>
              <w:t>12</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42"/>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(4,185)</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shd w:val="clear" w:color="auto" w:fill="CCEEFF"/>
          </w:tcPr>
          <w:p>
            <w:pPr>
              <w:jc w:val="center"/>
              <w:ind w:left="372"/>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(4,185)</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3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6"/>
          <w:szCs w:val="16"/>
          <w:b w:val="1"/>
          <w:bCs w:val="1"/>
          <w:color w:val="auto"/>
        </w:rPr>
        <w:t>Income Taxes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(benefit) for the years ended December 31, 2023 and 2022 attributable to loss from continuing operations is presented below.</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2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96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8"/>
                <w:szCs w:val="18"/>
                <w:color w:val="auto"/>
              </w:rPr>
              <w:t>Year ended December 31, 2023</w:t>
            </w:r>
          </w:p>
        </w:tc>
        <w:tc>
          <w:tcPr>
            <w:tcW w:w="1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tcPr>
          <w:p>
            <w:pPr>
              <w:spacing w:after="0"/>
              <w:rPr>
                <w:sz w:val="19"/>
                <w:szCs w:val="19"/>
                <w:color w:val="auto"/>
              </w:rPr>
            </w:pPr>
          </w:p>
        </w:tc>
        <w:tc>
          <w:tcPr>
            <w:tcW w:w="220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Federal</w:t>
            </w:r>
          </w:p>
        </w:tc>
        <w:tc>
          <w:tcPr>
            <w:tcW w:w="3760" w:type="dxa"/>
            <w:vAlign w:val="bottom"/>
            <w:tcBorders>
              <w:top w:val="single" w:sz="8" w:color="CCEEFF"/>
            </w:tcBorders>
          </w:tcPr>
          <w:p>
            <w:pPr>
              <w:spacing w:after="0"/>
              <w:rPr>
                <w:sz w:val="19"/>
                <w:szCs w:val="19"/>
                <w:color w:val="auto"/>
              </w:rPr>
            </w:pPr>
          </w:p>
        </w:tc>
        <w:tc>
          <w:tcPr>
            <w:tcW w:w="1200" w:type="dxa"/>
            <w:vAlign w:val="bottom"/>
            <w:tcBorders>
              <w:top w:val="single" w:sz="8" w:color="CCEEFF"/>
            </w:tcBorders>
          </w:tcPr>
          <w:p>
            <w:pPr>
              <w:jc w:val="right"/>
              <w:ind w:right="99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State</w:t>
            </w: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96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color w:val="auto"/>
              </w:rPr>
              <w:t>Foreign</w:t>
            </w:r>
          </w:p>
        </w:tc>
        <w:tc>
          <w:tcPr>
            <w:tcW w:w="12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42"/>
        </w:trPr>
        <w:tc>
          <w:tcPr>
            <w:tcW w:w="20" w:type="dxa"/>
            <w:vAlign w:val="bottom"/>
            <w:tcBorders>
              <w:bottom w:val="single" w:sz="8" w:color="CCEEFF"/>
            </w:tcBorders>
            <w:shd w:val="clear" w:color="auto" w:fill="CCEEFF"/>
          </w:tcPr>
          <w:p>
            <w:pPr>
              <w:spacing w:after="0"/>
              <w:rPr>
                <w:sz w:val="20"/>
                <w:szCs w:val="20"/>
                <w:color w:val="auto"/>
              </w:rPr>
            </w:pPr>
          </w:p>
        </w:tc>
        <w:tc>
          <w:tcPr>
            <w:tcW w:w="2200" w:type="dxa"/>
            <w:vAlign w:val="bottom"/>
            <w:tcBorders>
              <w:bottom w:val="single" w:sz="8" w:color="CCEEFF"/>
            </w:tcBorders>
            <w:shd w:val="clear" w:color="auto" w:fill="CCEEFF"/>
          </w:tcPr>
          <w:p>
            <w:pPr>
              <w:spacing w:after="0"/>
              <w:rPr>
                <w:sz w:val="20"/>
                <w:szCs w:val="20"/>
                <w:color w:val="auto"/>
              </w:rPr>
            </w:pPr>
          </w:p>
        </w:tc>
        <w:tc>
          <w:tcPr>
            <w:tcW w:w="37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99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960" w:type="dxa"/>
            <w:vAlign w:val="bottom"/>
            <w:tcBorders>
              <w:top w:val="single" w:sz="8" w:color="CCEEFF"/>
              <w:bottom w:val="single" w:sz="8" w:color="CCEEFF"/>
            </w:tcBorders>
            <w:gridSpan w:val="2"/>
            <w:vMerge w:val="restart"/>
          </w:tcPr>
          <w:p>
            <w:pPr>
              <w:spacing w:after="0" w:line="170" w:lineRule="exact"/>
              <w:rPr>
                <w:sz w:val="20"/>
                <w:szCs w:val="20"/>
                <w:color w:val="auto"/>
              </w:rPr>
            </w:pPr>
            <w:r>
              <w:rPr>
                <w:rFonts w:ascii="Times New Roman" w:cs="Times New Roman" w:eastAsia="Times New Roman" w:hAnsi="Times New Roman"/>
                <w:sz w:val="18"/>
                <w:szCs w:val="18"/>
                <w:color w:val="auto"/>
              </w:rPr>
              <w:t>Year ended December 31, 2022</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vMerge w:val="continue"/>
          </w:tcPr>
          <w:p>
            <w:pPr>
              <w:spacing w:after="0"/>
              <w:rPr>
                <w:sz w:val="12"/>
                <w:szCs w:val="12"/>
                <w:color w:val="auto"/>
              </w:rPr>
            </w:pPr>
          </w:p>
        </w:tc>
        <w:tc>
          <w:tcPr>
            <w:tcW w:w="596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220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Federal</w:t>
            </w:r>
          </w:p>
        </w:tc>
        <w:tc>
          <w:tcPr>
            <w:tcW w:w="37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99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State</w:t>
            </w:r>
          </w:p>
        </w:tc>
        <w:tc>
          <w:tcPr>
            <w:tcW w:w="12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Foreign</w:t>
            </w:r>
          </w:p>
        </w:tc>
        <w:tc>
          <w:tcPr>
            <w:tcW w:w="12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0" w:type="dxa"/>
            <w:vAlign w:val="bottom"/>
            <w:tcBorders>
              <w:bottom w:val="single" w:sz="8" w:color="auto"/>
            </w:tcBorders>
          </w:tcPr>
          <w:p>
            <w:pPr>
              <w:jc w:val="right"/>
              <w:ind w:right="99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Actual income tax expense (benefit) differs from the “expected” income tax expense (benefit) computed by applying the United States Federal statutory income tax rate of 21% for both 2023 and 2022 to loss from continuing operations before income tax expense,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480" w:type="dxa"/>
            <w:vAlign w:val="bottom"/>
            <w:gridSpan w:val="4"/>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920" w:type="dxa"/>
            <w:vAlign w:val="bottom"/>
          </w:tcPr>
          <w:p>
            <w:pPr>
              <w:spacing w:after="0"/>
              <w:rPr>
                <w:sz w:val="2"/>
                <w:szCs w:val="2"/>
                <w:color w:val="auto"/>
              </w:rPr>
            </w:pPr>
          </w:p>
        </w:tc>
        <w:tc>
          <w:tcPr>
            <w:tcW w:w="422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920" w:type="dxa"/>
            <w:vAlign w:val="bottom"/>
            <w:tcBorders>
              <w:bottom w:val="single" w:sz="8" w:color="CCEEFF"/>
            </w:tcBorders>
          </w:tcPr>
          <w:p>
            <w:pPr>
              <w:spacing w:after="0"/>
              <w:rPr>
                <w:sz w:val="16"/>
                <w:szCs w:val="16"/>
                <w:color w:val="auto"/>
              </w:rPr>
            </w:pPr>
          </w:p>
        </w:tc>
        <w:tc>
          <w:tcPr>
            <w:tcW w:w="336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at Federal statutory income tax rate</w:t>
            </w:r>
          </w:p>
        </w:tc>
        <w:tc>
          <w:tcPr>
            <w:tcW w:w="3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8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(3,172)</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23"/>
        </w:trPr>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(decrease) in income taxes resulting from:</w:t>
            </w:r>
          </w:p>
        </w:tc>
        <w:tc>
          <w:tcPr>
            <w:tcW w:w="3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 income tax benefit (expense), net of federal benefit</w:t>
            </w:r>
          </w:p>
        </w:tc>
        <w:tc>
          <w:tcPr>
            <w:tcW w:w="3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State research and development, investment credits</w:t>
            </w:r>
          </w:p>
        </w:tc>
        <w:tc>
          <w:tcPr>
            <w:tcW w:w="3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Non-deductible meals &amp; entertainment</w:t>
            </w:r>
          </w:p>
        </w:tc>
        <w:tc>
          <w:tcPr>
            <w:tcW w:w="3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Non-deductible stock compensation expense</w:t>
            </w:r>
          </w:p>
        </w:tc>
        <w:tc>
          <w:tcPr>
            <w:tcW w:w="3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Non-deductible compensation under 162(m)</w:t>
            </w:r>
          </w:p>
        </w:tc>
        <w:tc>
          <w:tcPr>
            <w:tcW w:w="3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Prior period prepaid tax</w:t>
            </w:r>
          </w:p>
        </w:tc>
        <w:tc>
          <w:tcPr>
            <w:tcW w:w="3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withholding taxes</w:t>
            </w:r>
          </w:p>
        </w:tc>
        <w:tc>
          <w:tcPr>
            <w:tcW w:w="3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3"/>
        </w:trPr>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3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Federal research and development credits</w:t>
            </w:r>
          </w:p>
        </w:tc>
        <w:tc>
          <w:tcPr>
            <w:tcW w:w="3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3"/>
        </w:trPr>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Uncertain tax positions</w:t>
            </w:r>
          </w:p>
        </w:tc>
        <w:tc>
          <w:tcPr>
            <w:tcW w:w="3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to tax return adjustments</w:t>
            </w:r>
          </w:p>
        </w:tc>
        <w:tc>
          <w:tcPr>
            <w:tcW w:w="3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3"/>
        </w:trPr>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 impairment</w:t>
            </w:r>
          </w:p>
        </w:tc>
        <w:tc>
          <w:tcPr>
            <w:tcW w:w="3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 of KVH Media Group Entertainment Limited</w:t>
            </w:r>
          </w:p>
        </w:tc>
        <w:tc>
          <w:tcPr>
            <w:tcW w:w="3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36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7"/>
        </w:trPr>
        <w:tc>
          <w:tcPr>
            <w:tcW w:w="49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Income tax expense</w:t>
            </w:r>
          </w:p>
        </w:tc>
        <w:tc>
          <w:tcPr>
            <w:tcW w:w="3360" w:type="dxa"/>
            <w:vAlign w:val="bottom"/>
          </w:tcPr>
          <w:p>
            <w:pPr>
              <w:spacing w:after="0"/>
              <w:rPr>
                <w:sz w:val="18"/>
                <w:szCs w:val="18"/>
                <w:color w:val="auto"/>
              </w:rPr>
            </w:pPr>
          </w:p>
        </w:tc>
        <w:tc>
          <w:tcPr>
            <w:tcW w:w="86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18"/>
                <w:szCs w:val="18"/>
                <w:color w:val="auto"/>
              </w:rPr>
            </w:pPr>
          </w:p>
        </w:tc>
        <w:tc>
          <w:tcPr>
            <w:tcW w:w="940" w:type="dxa"/>
            <w:vAlign w:val="bottom"/>
            <w:tcBorders>
              <w:bottom w:val="single" w:sz="8" w:color="auto"/>
            </w:tcBorders>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360" w:type="dxa"/>
            <w:vAlign w:val="bottom"/>
            <w:vMerge w:val="restart"/>
          </w:tcPr>
          <w:p>
            <w:pPr>
              <w:jc w:val="right"/>
              <w:ind w:right="2472"/>
              <w:spacing w:after="0"/>
              <w:rPr>
                <w:sz w:val="20"/>
                <w:szCs w:val="20"/>
                <w:color w:val="auto"/>
              </w:rPr>
            </w:pPr>
            <w:r>
              <w:rPr>
                <w:rFonts w:ascii="Times New Roman" w:cs="Times New Roman" w:eastAsia="Times New Roman" w:hAnsi="Times New Roman"/>
                <w:sz w:val="18"/>
                <w:szCs w:val="18"/>
                <w:color w:val="auto"/>
              </w:rPr>
              <w:t>66</w:t>
            </w: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3"/>
        </w:trPr>
        <w:tc>
          <w:tcPr>
            <w:tcW w:w="492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920" w:type="dxa"/>
            <w:vAlign w:val="bottom"/>
            <w:tcBorders>
              <w:bottom w:val="single" w:sz="8" w:color="9A9A9A"/>
            </w:tcBorders>
          </w:tcPr>
          <w:p>
            <w:pPr>
              <w:spacing w:after="0"/>
              <w:rPr>
                <w:sz w:val="9"/>
                <w:szCs w:val="9"/>
                <w:color w:val="auto"/>
              </w:rPr>
            </w:pPr>
          </w:p>
        </w:tc>
        <w:tc>
          <w:tcPr>
            <w:tcW w:w="33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from continuing operations before income tax expense determined by tax jurisdiction, are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7"/>
          </w:tcPr>
          <w:p>
            <w:pPr>
              <w:ind w:lef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4"/>
        </w:trPr>
        <w:tc>
          <w:tcPr>
            <w:tcW w:w="8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2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(9,777)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center"/>
              <w:ind w:left="354"/>
              <w:spacing w:after="0"/>
              <w:rPr>
                <w:sz w:val="20"/>
                <w:szCs w:val="20"/>
                <w:color w:val="auto"/>
              </w:rPr>
            </w:pPr>
            <w:r>
              <w:rPr>
                <w:rFonts w:ascii="Times New Roman" w:cs="Times New Roman" w:eastAsia="Times New Roman" w:hAnsi="Times New Roman"/>
                <w:sz w:val="18"/>
                <w:szCs w:val="18"/>
                <w:color w:val="auto"/>
                <w:w w:val="98"/>
              </w:rPr>
              <w:t>(4,687)</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(5,327)</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414"/>
              <w:spacing w:after="0"/>
              <w:rPr>
                <w:sz w:val="20"/>
                <w:szCs w:val="20"/>
                <w:color w:val="auto"/>
              </w:rPr>
            </w:pPr>
            <w:r>
              <w:rPr>
                <w:rFonts w:ascii="Times New Roman" w:cs="Times New Roman" w:eastAsia="Times New Roman" w:hAnsi="Times New Roman"/>
                <w:sz w:val="18"/>
                <w:szCs w:val="18"/>
                <w:color w:val="auto"/>
                <w:w w:val="98"/>
              </w:rPr>
              <w:t>1,238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(15,104)</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gridSpan w:val="2"/>
            <w:shd w:val="clear" w:color="auto" w:fill="CCEEFF"/>
          </w:tcPr>
          <w:p>
            <w:pPr>
              <w:jc w:val="center"/>
              <w:ind w:left="354"/>
              <w:spacing w:after="0"/>
              <w:rPr>
                <w:sz w:val="20"/>
                <w:szCs w:val="20"/>
                <w:color w:val="auto"/>
              </w:rPr>
            </w:pPr>
            <w:r>
              <w:rPr>
                <w:rFonts w:ascii="Times New Roman" w:cs="Times New Roman" w:eastAsia="Times New Roman" w:hAnsi="Times New Roman"/>
                <w:sz w:val="18"/>
                <w:szCs w:val="18"/>
                <w:color w:val="auto"/>
                <w:w w:val="98"/>
              </w:rPr>
              <w:t>(3,449)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Deferred tax assets and liabilities for the periods presented consisted of the following:</w:t>
            </w: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82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8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gridSpan w:val="5"/>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82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24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due to allowance for doubtful accounts</w:t>
            </w:r>
          </w:p>
        </w:tc>
        <w:tc>
          <w:tcPr>
            <w:tcW w:w="36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0" w:type="dxa"/>
            <w:vAlign w:val="bottom"/>
          </w:tcPr>
          <w:p>
            <w:pPr>
              <w:spacing w:after="0"/>
              <w:rPr>
                <w:sz w:val="19"/>
                <w:szCs w:val="19"/>
                <w:color w:val="auto"/>
              </w:rPr>
            </w:pPr>
          </w:p>
        </w:tc>
        <w:tc>
          <w:tcPr>
            <w:tcW w:w="540" w:type="dxa"/>
            <w:vAlign w:val="bottom"/>
            <w:gridSpan w:val="3"/>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loss carryforwards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due to difference in depreciation</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 tax credit carryforwards</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tax credit carryforwards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 tax credit carryforwards</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Warranty reserve</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liability</w:t>
            </w:r>
          </w:p>
        </w:tc>
        <w:tc>
          <w:tcPr>
            <w:tcW w:w="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2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24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Deferred tax liabilities:</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Purchased intangible assets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 due to differences in depreciation</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Right of use asset</w:t>
            </w: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deferred tax asset</w:t>
            </w:r>
          </w:p>
        </w:tc>
        <w:tc>
          <w:tcPr>
            <w:tcW w:w="36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income tax asset</w:t>
            </w:r>
          </w:p>
        </w:tc>
        <w:tc>
          <w:tcPr>
            <w:tcW w:w="360" w:type="dxa"/>
            <w:vAlign w:val="bottom"/>
            <w:tcBorders>
              <w:bottom w:val="single" w:sz="8" w:color="auto"/>
            </w:tcBorders>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40" w:type="dxa"/>
            <w:vAlign w:val="bottom"/>
          </w:tcPr>
          <w:p>
            <w:pPr>
              <w:ind w:left="660"/>
              <w:spacing w:after="0" w:line="196" w:lineRule="exact"/>
              <w:rPr>
                <w:sz w:val="20"/>
                <w:szCs w:val="20"/>
                <w:color w:val="auto"/>
              </w:rPr>
            </w:pPr>
            <w:r>
              <w:rPr>
                <w:rFonts w:ascii="Times New Roman" w:cs="Times New Roman" w:eastAsia="Times New Roman" w:hAnsi="Times New Roman"/>
                <w:sz w:val="18"/>
                <w:szCs w:val="18"/>
                <w:color w:val="auto"/>
              </w:rPr>
              <w:t>Deferred income tax liability</w:t>
            </w:r>
          </w:p>
        </w:tc>
        <w:tc>
          <w:tcPr>
            <w:tcW w:w="360" w:type="dxa"/>
            <w:vAlign w:val="bottom"/>
            <w:tcBorders>
              <w:top w:val="single" w:sz="8" w:color="auto"/>
              <w:bottom w:val="single" w:sz="8" w:color="auto"/>
            </w:tcBorders>
            <w:gridSpan w:val="2"/>
          </w:tcPr>
          <w:p>
            <w:pPr>
              <w:jc w:val="right"/>
              <w:ind w:right="152"/>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top w:val="single" w:sz="8" w:color="auto"/>
              <w:bottom w:val="single" w:sz="8" w:color="auto"/>
            </w:tcBorders>
            <w:gridSpan w:val="2"/>
          </w:tcPr>
          <w:p>
            <w:pPr>
              <w:jc w:val="right"/>
              <w:ind w:right="27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473"/>
        <w:spacing w:after="0" w:line="237" w:lineRule="auto"/>
        <w:rPr>
          <w:sz w:val="20"/>
          <w:szCs w:val="20"/>
          <w:color w:val="auto"/>
        </w:rPr>
      </w:pPr>
      <w:r>
        <w:rPr>
          <w:rFonts w:ascii="Times New Roman" w:cs="Times New Roman" w:eastAsia="Times New Roman" w:hAnsi="Times New Roman"/>
          <w:sz w:val="18"/>
          <w:szCs w:val="18"/>
          <w:color w:val="auto"/>
        </w:rPr>
        <w:t>As of December 31, 2023 the Company has federal and state tax loss carryforwards of approximately $22,854 and $3,154, respectively. The federal loss carryforward has no expiration date. The state losses expire through the year 2043. As of December 31, 2023, the Company had federal research and development tax credit carryforwards in the amount of $5,842 and other general business credits of $9 that expire in years 2029 through 2042. As of December 31, 2023, the Company had foreign tax credit carryforwards in the amount of $2,345 that expire in years 2026 through 2027. As of December 31, 2023, the Company had state research and development tax credit carryforwards in the amount of $4,181 that expire in years 2023 through 2030. The Company also had other state tax credit carryforwards of $96 available to reduce future state tax expense that expire in years 2023 through 2030.</w:t>
      </w:r>
    </w:p>
    <w:p>
      <w:pPr>
        <w:spacing w:after="0" w:line="219"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The Company’s ability to utilize these net operating loss carryforwards and tax credit carryforwards may be limited in the future if the Company experiences an ownership change pursuant to Internal Revenue Code Section 382. An ownership change occurs when the ownership percentages of 5% or greater stockholders change by more than 50% over a three-year period.</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32" w:lineRule="exact"/>
        <w:rPr>
          <w:sz w:val="20"/>
          <w:szCs w:val="20"/>
          <w:color w:val="auto"/>
        </w:rPr>
      </w:pPr>
    </w:p>
    <w:p>
      <w:pPr>
        <w:ind w:right="20" w:firstLine="473"/>
        <w:spacing w:after="0" w:line="249" w:lineRule="auto"/>
        <w:rPr>
          <w:sz w:val="20"/>
          <w:szCs w:val="20"/>
          <w:color w:val="auto"/>
        </w:rPr>
      </w:pPr>
      <w:r>
        <w:rPr>
          <w:rFonts w:ascii="Times New Roman" w:cs="Times New Roman" w:eastAsia="Times New Roman" w:hAnsi="Times New Roman"/>
          <w:sz w:val="18"/>
          <w:szCs w:val="18"/>
          <w:color w:val="auto"/>
        </w:rPr>
        <w:t>In assessing the realizability of its net deferred tax assets, the Company considered whether it is more likely than not that some portion or all of the deferred tax assets will not be realized. As of December 31, 2023, the valuation decreased by $682. The change was primarily the result of the current year loss, the expiration of stock compensation deferred assets, the reduction in the state effective tax rate and the expiration of state loss carryforwards. As part of the Company’s analysis, the Company evaluated, among other factors, its recent history of generating tax losses and its near-term forecasts of future taxable income or losses.</w:t>
      </w:r>
    </w:p>
    <w:p>
      <w:pPr>
        <w:spacing w:after="0" w:line="214"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As of December 31, 2023, unremitted foreign earnings, which were not significant, have been retained by the Company's foreign subsidiaries for indefinite reinvestment. Upon repatriation of those earnings, in the form of dividends or otherwise, the Company could be subject to state tax and withholding taxes payable to various foreign countries.</w:t>
      </w:r>
    </w:p>
    <w:p>
      <w:pPr>
        <w:spacing w:after="0" w:line="205"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The Company establishes reserves for uncertain tax positions based on management’s assessment of exposure associated with tax deductions, permanent tax differences, and tax credits. The tax reserves are analyzed periodically and adjustments are made as events occur that warrant adjustment to the reserve. The Company's policy is to recognize interest and penalties related to unrecognized tax benefits as a component of income tax expense.</w:t>
      </w:r>
    </w:p>
    <w:p>
      <w:pPr>
        <w:spacing w:after="0" w:line="2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aggregate changes in the total gross amount of unrecognized tax benefits, excluding penalties and interest,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2340" w:type="dxa"/>
            <w:vAlign w:val="bottom"/>
            <w:gridSpan w:val="4"/>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Pr>
          <w:p>
            <w:pPr>
              <w:spacing w:after="0"/>
              <w:rPr>
                <w:sz w:val="16"/>
                <w:szCs w:val="16"/>
                <w:color w:val="auto"/>
              </w:rPr>
            </w:pPr>
          </w:p>
        </w:tc>
      </w:tr>
      <w:tr>
        <w:trPr>
          <w:trHeight w:val="24"/>
        </w:trPr>
        <w:tc>
          <w:tcPr>
            <w:tcW w:w="82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84"/>
        </w:trPr>
        <w:tc>
          <w:tcPr>
            <w:tcW w:w="82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as of January 1</w:t>
            </w:r>
          </w:p>
        </w:tc>
        <w:tc>
          <w:tcPr>
            <w:tcW w:w="860" w:type="dxa"/>
            <w:vAlign w:val="bottom"/>
            <w:shd w:val="clear" w:color="auto" w:fill="CCEEFF"/>
          </w:tcPr>
          <w:p>
            <w:pPr>
              <w:jc w:val="right"/>
              <w:ind w:right="68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1,653</w:t>
            </w:r>
          </w:p>
        </w:tc>
      </w:tr>
      <w:tr>
        <w:trPr>
          <w:trHeight w:val="223"/>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decrease in unrecognized tax benefits - prior year tax positions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3"/>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 as of December 31</w:t>
            </w:r>
          </w:p>
        </w:tc>
        <w:tc>
          <w:tcPr>
            <w:tcW w:w="86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1,482</w:t>
            </w:r>
          </w:p>
        </w:tc>
      </w:tr>
      <w:tr>
        <w:trPr>
          <w:trHeight w:val="20"/>
        </w:trPr>
        <w:tc>
          <w:tcPr>
            <w:tcW w:w="8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All unrecognized tax benefits as of December 31, 2023 and 2022, if recognized, would result in a reduction of the Company's effective tax rate.</w:t>
      </w:r>
    </w:p>
    <w:p>
      <w:pPr>
        <w:spacing w:after="0" w:line="240"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The Company recorded interest and penalties of $74 and $56 in its consolidated statement of operations for the years ended December 31, 2023 and 2022, respectively. Total accrued interest and penalties related to tax positions taken on our tax returns and included in non-current income taxes payable was approximately $366 and $311 as of December 31, 2023 and 2022, respectively.</w:t>
      </w:r>
    </w:p>
    <w:p>
      <w:pPr>
        <w:spacing w:after="0" w:line="205"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The timing of any resolution of income tax examinations is highly uncertain, as are the amounts and timing of any settlement payment. These events could cause fluctuations in the balance sheet classification of current and non-current assets and liabilities. The Company estimates that it is reasonably possible that the balance of unrecognized tax benefits as of December 31, 2023 may decrease approximately $25 in the next twelve months as a result of a lapse of statutes of limitation and settlements with taxing authorities.</w:t>
      </w:r>
    </w:p>
    <w:p>
      <w:pPr>
        <w:spacing w:after="0" w:line="130"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The Company’s tax jurisdictions include the United States, the United Kingdom, Denmark, Cyprus, Norway, Brazil, Singapore, Japan, and India. In general, the statute of limitations with respect to the Company's United States federal income taxes has expired for years prior to 2020, and the relevant state and foreign statutes vary. However, preceding years remain open to examination by United States federal and state and foreign taxing authorities to the extent of future utilization of net operating losses and research and development tax credits generated in each preceding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3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6"/>
          <w:szCs w:val="16"/>
          <w:b w:val="1"/>
          <w:bCs w:val="1"/>
          <w:color w:val="auto"/>
        </w:rPr>
        <w:t>Goodwill and Other Long-Lived Assets</w:t>
      </w:r>
    </w:p>
    <w:p>
      <w:pPr>
        <w:spacing w:after="0" w:line="242"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As of December 31, 2023, the Company's intangible assets are primarily associated with the purchase of distribution rights from Kognitive Networks Inc. in October 2023 and the purchase of Virtek Communication (now known as KVH Industries Norway AS) in September 2010.</w:t>
      </w:r>
    </w:p>
    <w:p>
      <w:pPr>
        <w:spacing w:after="0" w:line="195"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Prior to the fourth quarter of 2023, the Company’s goodwill and intangible assets were also associated with the purchase of Headland Media Limited (now known as the KVH Media Group) in May 2013.</w:t>
      </w:r>
    </w:p>
    <w:p>
      <w:pPr>
        <w:spacing w:after="0" w:line="195"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In the third quarter of 2023, the Company observed a sustained stock price decline resulting in a significant shortfall in market capitalization when compared to the aggregate carrying value of our net assets. These circumstances led us to conclude that quantitative goodwill impairment assessments of the Mobile Broadband (MBB) and KVH Media Group (Media) reporting units were required.</w:t>
      </w:r>
    </w:p>
    <w:p>
      <w:pPr>
        <w:spacing w:after="0" w:line="205" w:lineRule="exact"/>
        <w:rPr>
          <w:sz w:val="20"/>
          <w:szCs w:val="20"/>
          <w:color w:val="auto"/>
        </w:rPr>
      </w:pPr>
    </w:p>
    <w:p>
      <w:pPr>
        <w:jc w:val="both"/>
        <w:ind w:firstLine="473"/>
        <w:spacing w:after="0" w:line="246" w:lineRule="auto"/>
        <w:rPr>
          <w:sz w:val="20"/>
          <w:szCs w:val="20"/>
          <w:color w:val="auto"/>
        </w:rPr>
      </w:pPr>
      <w:r>
        <w:rPr>
          <w:rFonts w:ascii="Times New Roman" w:cs="Times New Roman" w:eastAsia="Times New Roman" w:hAnsi="Times New Roman"/>
          <w:sz w:val="18"/>
          <w:szCs w:val="18"/>
          <w:color w:val="auto"/>
        </w:rPr>
        <w:t>Fair value determinations require considerable judgment and are sensitive to changes in underlying assumptions, estimates, and market factors. Estimating the fair value of individual reporting units requires us to make assumptions and estimates regarding future plans, as well as industry and economic conditions. These assumptions and estimates include estimated future cash flows, income tax rates, discount rates, growth rates, and other market factors. In performing the quantitative assessment, the Company estimated the fair value of its reporting units using the income approach, also known as the discounted cash flow ("DCF") method, which utilizes the present value of estimated future cash flows to estimate fair value. The DCF method involves estimating the discounted cash flows of a reporting unit by forecasting cash flows each year, calculating a terminal value, and discounting all of the cash flows to present value at an appropriate discount rate (in consideration of the time value of money, the risk inherent in the cash flow stream, and in the context of current rates of return for equity and debt capital). The final determination of fair value was based on a probability-weighted approach comparing management’s forecasts with a market expectation forecast.</w:t>
      </w:r>
    </w:p>
    <w:p>
      <w:pPr>
        <w:spacing w:after="0" w:line="220"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As of September 30, 2023, the determined fair values of the MBB and Media reporting units were lower than their carrying values. After recognition of a long-lived asset impairment charge (as discussed below), the Company recognized goodwill impairment charges equal to the total amount of goodwill attributed to the MBB and Media reporting units, which were approximately $4,400 and $900, respectively.</w:t>
      </w:r>
    </w:p>
    <w:p>
      <w:pPr>
        <w:spacing w:after="0" w:line="205" w:lineRule="exact"/>
        <w:rPr>
          <w:sz w:val="20"/>
          <w:szCs w:val="20"/>
          <w:color w:val="auto"/>
        </w:rPr>
      </w:pPr>
    </w:p>
    <w:p>
      <w:pPr>
        <w:jc w:val="both"/>
        <w:ind w:firstLine="473"/>
        <w:spacing w:after="0" w:line="246" w:lineRule="auto"/>
        <w:rPr>
          <w:sz w:val="20"/>
          <w:szCs w:val="20"/>
          <w:color w:val="auto"/>
        </w:rPr>
      </w:pPr>
      <w:r>
        <w:rPr>
          <w:rFonts w:ascii="Times New Roman" w:cs="Times New Roman" w:eastAsia="Times New Roman" w:hAnsi="Times New Roman"/>
          <w:sz w:val="18"/>
          <w:szCs w:val="18"/>
          <w:color w:val="auto"/>
        </w:rPr>
        <w:t>The Company also determined that the sustained decrease in stock price and shortfall in market capitalization indicated that the carrying amounts of our asset groups (MBB and Media) may not be recoverable. The Company therefore performed impairment tests on the long-lived assets in each asset group, including definite-lived intangible assets using an undiscounted cash flow analysis over the estimated remaining useful life of the primary asset, to determine whether the carrying amounts of each asset group were recoverable. As of September 30, 2023, our analysis indicated that the carrying amount of the MBB asset group was recoverable, and therefore no fair value estimate was required. The Media asset group failed the undiscounted cash flow recoverability test and therefore the Company estimated the fair value of the asset group to determine whether any asset impairment was present. Our estimation of the fair value of the long-lived assets included the use of discounted cash flow and cost analyses, reflecting estimates of future revenues, cost factors, cash flows, discount rates, and obsolescence. Based on these analyses, the Company concluded that the fair values of certain assets were lower than their carrying amounts. As of September 30, 2023, the Company recognized long-lived asset impairment charges totaling approximately $400 and $300 for the KVH Media Group’s internally developed software assets and acquired subscriber relationships, respectively, reducing the carrying amounts to zero.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42" w:lineRule="exact"/>
        <w:rPr>
          <w:sz w:val="20"/>
          <w:szCs w:val="20"/>
          <w:color w:val="auto"/>
        </w:rPr>
      </w:pPr>
    </w:p>
    <w:p>
      <w:pPr>
        <w:jc w:val="both"/>
        <w:ind w:firstLine="473"/>
        <w:spacing w:after="0" w:line="293" w:lineRule="auto"/>
        <w:rPr>
          <w:sz w:val="20"/>
          <w:szCs w:val="20"/>
          <w:color w:val="auto"/>
        </w:rPr>
      </w:pPr>
      <w:r>
        <w:rPr>
          <w:rFonts w:ascii="Times New Roman" w:cs="Times New Roman" w:eastAsia="Times New Roman" w:hAnsi="Times New Roman"/>
          <w:sz w:val="16"/>
          <w:szCs w:val="16"/>
          <w:color w:val="auto"/>
        </w:rPr>
        <w:t>Intangible assets arose from the purchase of distribution rights from Kognitive Networks Inc., the purchase of KVH Industries Norway AS and the acquisition of KVH Media Group. The assets related to the distribution rights with Kognitive Networks are being amortized on a straight-line basis over the estimated useful life of 3 years. The assets related to the purchase of KVH Industries Norway AS for acquired intellectual property are fully amortized, while the assets related to acquisition of KVH Media Group were previously being amortized on a straight-line basis over the estimated useful life of 10 years.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32" w:lineRule="exact"/>
        <w:rPr>
          <w:sz w:val="20"/>
          <w:szCs w:val="20"/>
          <w:color w:val="auto"/>
        </w:rPr>
      </w:pPr>
    </w:p>
    <w:p>
      <w:pPr>
        <w:jc w:val="both"/>
        <w:ind w:firstLine="473"/>
        <w:spacing w:after="0" w:line="248" w:lineRule="auto"/>
        <w:rPr>
          <w:sz w:val="20"/>
          <w:szCs w:val="20"/>
          <w:color w:val="auto"/>
        </w:rPr>
      </w:pPr>
      <w:r>
        <w:rPr>
          <w:rFonts w:ascii="Times New Roman" w:cs="Times New Roman" w:eastAsia="Times New Roman" w:hAnsi="Times New Roman"/>
          <w:sz w:val="18"/>
          <w:szCs w:val="18"/>
          <w:color w:val="auto"/>
        </w:rPr>
        <w:t xml:space="preserve">In January 2017, the Company completed the acquisition of certain subscriber relationships from a third party. This acquisition did not meet the definition of a business under ASC 2017-01, </w:t>
      </w:r>
      <w:r>
        <w:rPr>
          <w:rFonts w:ascii="Times New Roman" w:cs="Times New Roman" w:eastAsia="Times New Roman" w:hAnsi="Times New Roman"/>
          <w:sz w:val="18"/>
          <w:szCs w:val="18"/>
          <w:i w:val="1"/>
          <w:iCs w:val="1"/>
          <w:color w:val="auto"/>
        </w:rPr>
        <w:t>Business Combinations (Topic 805)-Clarifying the Definition of a Business</w:t>
      </w:r>
      <w:r>
        <w:rPr>
          <w:rFonts w:ascii="Times New Roman" w:cs="Times New Roman" w:eastAsia="Times New Roman" w:hAnsi="Times New Roman"/>
          <w:sz w:val="18"/>
          <w:szCs w:val="18"/>
          <w:color w:val="auto"/>
        </w:rPr>
        <w:t>. The Company ascribed $100 of the initial purchase price to the acquired subscriber relationships definite-lived intangible assets with an initial estimated useful life of 10 years. Under the asset purchase agreement, the purchase price includes a component of contingent consideration under which the Company is required to pay a percentage of recurring revenues received from the acquired subscriber relationships through 2026 up to a maximum annual payment of $114. The amounts payable under the contingent consideration arrangement, if any, will be included in the measurement of the cost of the acquired subscriber relationships.</w:t>
      </w:r>
    </w:p>
    <w:p>
      <w:pPr>
        <w:spacing w:after="0" w:line="215"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Acquired intangible assets are subject to amortization. The following table summarizes acquired intangible assets at December 31, 2023 and 2022, respectively:</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Gross Carrying</w:t>
            </w:r>
          </w:p>
        </w:tc>
        <w:tc>
          <w:tcPr>
            <w:tcW w:w="18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 Value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8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80" w:type="dxa"/>
            <w:vAlign w:val="bottom"/>
            <w:tcBorders>
              <w:bottom w:val="single" w:sz="8" w:color="auto"/>
            </w:tcBorders>
          </w:tcPr>
          <w:p>
            <w:pPr>
              <w:spacing w:after="0" w:line="158" w:lineRule="exact"/>
              <w:rPr>
                <w:sz w:val="20"/>
                <w:szCs w:val="20"/>
                <w:color w:val="auto"/>
              </w:rPr>
            </w:pPr>
            <w:r>
              <w:rPr>
                <w:rFonts w:ascii="Times New Roman" w:cs="Times New Roman" w:eastAsia="Times New Roman" w:hAnsi="Times New Roman"/>
                <w:sz w:val="16"/>
                <w:szCs w:val="16"/>
                <w:b w:val="1"/>
                <w:bCs w:val="1"/>
                <w:color w:val="auto"/>
                <w:w w:val="97"/>
              </w:rPr>
              <w:t>December 31, 2023</w:t>
            </w:r>
          </w:p>
        </w:tc>
        <w:tc>
          <w:tcPr>
            <w:tcW w:w="57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7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Subscriber relationships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Distribution rights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Proprietary content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Intellectual property</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5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5"/>
                <w:szCs w:val="15"/>
                <w:b w:val="1"/>
                <w:bCs w:val="1"/>
                <w:color w:val="auto"/>
              </w:rPr>
              <w:t>December 31, 2022</w:t>
            </w:r>
          </w:p>
        </w:tc>
        <w:tc>
          <w:tcPr>
            <w:tcW w:w="57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Subscriber relationships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7,245</w:t>
            </w:r>
          </w:p>
        </w:tc>
        <w:tc>
          <w:tcPr>
            <w:tcW w:w="100" w:type="dxa"/>
            <w:vAlign w:val="bottom"/>
          </w:tcPr>
          <w:p>
            <w:pPr>
              <w:spacing w:after="0"/>
              <w:rPr>
                <w:sz w:val="19"/>
                <w:szCs w:val="19"/>
                <w:color w:val="auto"/>
              </w:rPr>
            </w:pPr>
          </w:p>
        </w:tc>
        <w:tc>
          <w:tcPr>
            <w:tcW w:w="48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Distribution rights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Proprietary content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04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color w:val="auto"/>
              </w:rPr>
              <w:t>Intellectual property</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57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10,443</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5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Amortization expense related to intangible assets was $234 and $499 for years ended December 31, 2023 and 2022, respectively, and was categorized as general and administrative expense.</w:t>
      </w:r>
    </w:p>
    <w:p>
      <w:pPr>
        <w:spacing w:after="0" w:line="1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December 31, 2023, the total weighted average remaining useful lives of the definite-lived intangible assets was 3.0.</w:t>
      </w:r>
    </w:p>
    <w:p>
      <w:pPr>
        <w:spacing w:after="0" w:line="3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Estimated future amortization expense for intangible assets recorded by the Company at December 31, 2023 is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5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5"/>
        </w:trPr>
        <w:tc>
          <w:tcPr>
            <w:tcW w:w="3880" w:type="dxa"/>
            <w:vAlign w:val="bottom"/>
            <w:gridSpan w:val="3"/>
            <w:vMerge w:val="continue"/>
          </w:tcPr>
          <w:p>
            <w:pPr>
              <w:spacing w:after="0"/>
              <w:rPr>
                <w:sz w:val="12"/>
                <w:szCs w:val="12"/>
                <w:color w:val="auto"/>
              </w:rPr>
            </w:pPr>
          </w:p>
        </w:tc>
        <w:tc>
          <w:tcPr>
            <w:tcW w:w="5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jc w:val="right"/>
              <w:ind w:right="478"/>
              <w:spacing w:after="0" w:line="145" w:lineRule="exact"/>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1620" w:type="dxa"/>
            <w:vAlign w:val="bottom"/>
            <w:tcBorders>
              <w:top w:val="single" w:sz="8" w:color="auto"/>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5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24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23"/>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24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23"/>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240" w:type="dxa"/>
            <w:vAlign w:val="bottom"/>
            <w:tcBorders>
              <w:bottom w:val="single" w:sz="8" w:color="CCEEFF"/>
            </w:tcBorders>
            <w:shd w:val="clear" w:color="auto" w:fill="CCEEFF"/>
          </w:tcPr>
          <w:p>
            <w:pPr>
              <w:spacing w:after="0"/>
              <w:rPr>
                <w:sz w:val="19"/>
                <w:szCs w:val="19"/>
                <w:color w:val="auto"/>
              </w:rPr>
            </w:pPr>
          </w:p>
        </w:tc>
        <w:tc>
          <w:tcPr>
            <w:tcW w:w="57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42"/>
        </w:trPr>
        <w:tc>
          <w:tcPr>
            <w:tcW w:w="20" w:type="dxa"/>
            <w:vAlign w:val="bottom"/>
            <w:tcBorders>
              <w:bottom w:val="single" w:sz="8" w:color="CCEEFF"/>
            </w:tcBorders>
            <w:shd w:val="clear" w:color="auto" w:fill="CCEEFF"/>
          </w:tcPr>
          <w:p>
            <w:pPr>
              <w:spacing w:after="0"/>
              <w:rPr>
                <w:sz w:val="20"/>
                <w:szCs w:val="20"/>
                <w:color w:val="auto"/>
              </w:rPr>
            </w:pPr>
          </w:p>
        </w:tc>
        <w:tc>
          <w:tcPr>
            <w:tcW w:w="38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57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5720" w:type="dxa"/>
            <w:vAlign w:val="bottom"/>
            <w:tcBorders>
              <w:top w:val="single" w:sz="8" w:color="CCEEFF"/>
              <w:bottom w:val="single" w:sz="8" w:color="CCEEFF"/>
            </w:tcBorders>
            <w:vMerge w:val="restart"/>
          </w:tcPr>
          <w:p>
            <w:pPr>
              <w:jc w:val="right"/>
              <w:ind w:right="3792"/>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9"/>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7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57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changes in the carrying amount of intangible assets during the year ended December 31, 2023 is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96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23"/>
        </w:trPr>
        <w:tc>
          <w:tcPr>
            <w:tcW w:w="9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expense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23"/>
        </w:trPr>
        <w:tc>
          <w:tcPr>
            <w:tcW w:w="9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assets acquired in asset acquisition</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r>
      <w:tr>
        <w:trPr>
          <w:trHeight w:val="223"/>
        </w:trPr>
        <w:tc>
          <w:tcPr>
            <w:tcW w:w="9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Impairment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23"/>
        </w:trPr>
        <w:tc>
          <w:tcPr>
            <w:tcW w:w="9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7"/>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w:t>
            </w:r>
          </w:p>
        </w:tc>
      </w:tr>
      <w:tr>
        <w:trPr>
          <w:trHeight w:val="20"/>
        </w:trPr>
        <w:tc>
          <w:tcPr>
            <w:tcW w:w="96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42" w:lineRule="exact"/>
        <w:rPr>
          <w:sz w:val="20"/>
          <w:szCs w:val="20"/>
          <w:color w:val="auto"/>
        </w:rPr>
      </w:pPr>
    </w:p>
    <w:p>
      <w:pPr>
        <w:jc w:val="both"/>
        <w:ind w:firstLine="473"/>
        <w:spacing w:after="0" w:line="331" w:lineRule="auto"/>
        <w:rPr>
          <w:sz w:val="20"/>
          <w:szCs w:val="20"/>
          <w:color w:val="auto"/>
        </w:rPr>
      </w:pPr>
      <w:r>
        <w:rPr>
          <w:rFonts w:ascii="Times New Roman" w:cs="Times New Roman" w:eastAsia="Times New Roman" w:hAnsi="Times New Roman"/>
          <w:sz w:val="16"/>
          <w:szCs w:val="16"/>
          <w:color w:val="auto"/>
        </w:rPr>
        <w:t>Goodwill is recorded when the consideration for an acquisition exceeds the fair value of net tangible and identifiable intangible assets acquired. None of the Company's goodwill is deductible for tax purposes. The changes in the carrying amount of goodwill during the year ended December 31, 2023 is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Goodwill</w:t>
            </w:r>
          </w:p>
        </w:tc>
      </w:tr>
      <w:tr>
        <w:trPr>
          <w:trHeight w:val="24"/>
        </w:trPr>
        <w:tc>
          <w:tcPr>
            <w:tcW w:w="9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7"/>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w:t>
            </w:r>
          </w:p>
        </w:tc>
      </w:tr>
      <w:tr>
        <w:trPr>
          <w:trHeight w:val="223"/>
        </w:trPr>
        <w:tc>
          <w:tcPr>
            <w:tcW w:w="9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Impairment</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(5,333)</w:t>
            </w:r>
          </w:p>
        </w:tc>
      </w:tr>
      <w:tr>
        <w:trPr>
          <w:trHeight w:val="223"/>
        </w:trPr>
        <w:tc>
          <w:tcPr>
            <w:tcW w:w="9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7"/>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6"/>
          <w:szCs w:val="16"/>
          <w:b w:val="1"/>
          <w:bCs w:val="1"/>
          <w:color w:val="auto"/>
        </w:rPr>
        <w:t>401(k) Plan</w:t>
      </w:r>
    </w:p>
    <w:p>
      <w:pPr>
        <w:spacing w:after="0" w:line="242" w:lineRule="exact"/>
        <w:rPr>
          <w:sz w:val="20"/>
          <w:szCs w:val="20"/>
          <w:color w:val="auto"/>
        </w:rPr>
      </w:pPr>
    </w:p>
    <w:p>
      <w:pPr>
        <w:jc w:val="both"/>
        <w:ind w:firstLine="473"/>
        <w:spacing w:after="0" w:line="288" w:lineRule="auto"/>
        <w:rPr>
          <w:sz w:val="20"/>
          <w:szCs w:val="20"/>
          <w:color w:val="auto"/>
        </w:rPr>
      </w:pPr>
      <w:r>
        <w:rPr>
          <w:rFonts w:ascii="Times New Roman" w:cs="Times New Roman" w:eastAsia="Times New Roman" w:hAnsi="Times New Roman"/>
          <w:sz w:val="16"/>
          <w:szCs w:val="16"/>
          <w:color w:val="auto"/>
        </w:rPr>
        <w:t>The Company has a 401(k) Plan (the Plan) for all eligible employees. Participants may defer a portion of their pre-tax or post-tax earnings subject to limits determined by the Internal Revenue Service. Participants age 50 or older may be eligible to make additional contributions. The Company matches contributions by the Plan participants up to 6%. The Company’s contributions vest over a five-year period from the date of hire. The Company matching contributions were $459 and $486 for the years ended December 31, 2023 and 2022, respectively. In addition, the Company may make additional contributions to the Plan at the discretion of the Compensation Committee of the Board of Directors. There were no discretionary contributions in 2023 and 2022.</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3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6"/>
          <w:szCs w:val="16"/>
          <w:b w:val="1"/>
          <w:bCs w:val="1"/>
          <w:color w:val="auto"/>
        </w:rPr>
        <w:t>Revenue from Contracts with Customers</w:t>
      </w:r>
    </w:p>
    <w:p>
      <w:pPr>
        <w:spacing w:after="0" w:line="242" w:lineRule="exact"/>
        <w:rPr>
          <w:sz w:val="20"/>
          <w:szCs w:val="20"/>
          <w:color w:val="auto"/>
        </w:rPr>
      </w:pPr>
    </w:p>
    <w:p>
      <w:pPr>
        <w:jc w:val="both"/>
        <w:ind w:firstLine="473"/>
        <w:spacing w:after="0" w:line="253" w:lineRule="auto"/>
        <w:rPr>
          <w:sz w:val="20"/>
          <w:szCs w:val="20"/>
          <w:color w:val="auto"/>
        </w:rPr>
      </w:pPr>
      <w:r>
        <w:rPr>
          <w:rFonts w:ascii="Times New Roman" w:cs="Times New Roman" w:eastAsia="Times New Roman" w:hAnsi="Times New Roman"/>
          <w:sz w:val="18"/>
          <w:szCs w:val="18"/>
          <w:color w:val="auto"/>
        </w:rPr>
        <w:t>In accordance with ASC 606, revenue is recognized when a customer obtains control of promised products and services. The amount of revenue recognized reflects the consideration which the Company expects to be entitled to receive in exchange for these products and services.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 for Continuing Operations</w:t>
      </w:r>
    </w:p>
    <w:p>
      <w:pPr>
        <w:spacing w:after="0" w:line="2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net sales from contracts with customers for the years ended December 31, 2023 and 2022:</w:t>
      </w:r>
    </w:p>
    <w:p>
      <w:pPr>
        <w:spacing w:after="0" w:line="25"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93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3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 point in time</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26,842</w:t>
            </w:r>
          </w:p>
        </w:tc>
      </w:tr>
      <w:tr>
        <w:trPr>
          <w:trHeight w:val="223"/>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 - over time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114,622</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111,908</w:t>
            </w:r>
          </w:p>
        </w:tc>
      </w:tr>
      <w:tr>
        <w:trPr>
          <w:trHeight w:val="242"/>
        </w:trPr>
        <w:tc>
          <w:tcPr>
            <w:tcW w:w="8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net sales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132,379</w:t>
            </w:r>
          </w:p>
        </w:tc>
        <w:tc>
          <w:tcPr>
            <w:tcW w:w="1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138,750</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For product sales, the delivery of the Company’s performance obligations is generally transferred to the customer, and associated revenue is recognized, at a point in time. For service sales, the delivery of the Company’s performance obligations is transferred to the customer, and associated revenue is recognized, over time. Revenues for these service agreements are recognized over time using an output method based upon the passage of time, as this provides a faithful depiction of the pattern of transfer of control. The Company's performance is impacted by the levels of activity in the marine and land mobile markets, among other factors. Performance in any particular period could be impacted by the timing of sales to certain large customers.</w:t>
      </w:r>
    </w:p>
    <w:p>
      <w:pPr>
        <w:spacing w:after="0" w:line="201" w:lineRule="exact"/>
        <w:rPr>
          <w:sz w:val="20"/>
          <w:szCs w:val="20"/>
          <w:color w:val="auto"/>
        </w:rPr>
      </w:pPr>
    </w:p>
    <w:p>
      <w:pPr>
        <w:jc w:val="both"/>
        <w:ind w:firstLine="473"/>
        <w:spacing w:after="0" w:line="235" w:lineRule="auto"/>
        <w:rPr>
          <w:sz w:val="20"/>
          <w:szCs w:val="20"/>
          <w:color w:val="auto"/>
        </w:rPr>
      </w:pPr>
      <w:r>
        <w:rPr>
          <w:rFonts w:ascii="Times New Roman" w:cs="Times New Roman" w:eastAsia="Times New Roman" w:hAnsi="Times New Roman"/>
          <w:sz w:val="18"/>
          <w:szCs w:val="18"/>
          <w:color w:val="auto"/>
        </w:rPr>
        <w:t>The Company primarily manufactures and distributes a comprehensive family of mobile satellite antenna products and services that provide access to the Internet, television, and VoIP services while on the move. Product sales accounted for 13% and 19% of the Company's consolidated net sales for 2023 and 2022, respectively. Service sales of VSAT Broadband airtime service accounted for approximately 81% and 75% of the Company's consolidated net sales for 2023 and 2022, respectively. The balance of service sales are comprised of distribution of commercially licensed entertainment and news, product repairs, and extended warranty sales.</w:t>
      </w:r>
    </w:p>
    <w:p>
      <w:pPr>
        <w:spacing w:after="0" w:line="2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 other single product class accounts for 10% or more of consolidated net sales.</w:t>
      </w:r>
    </w:p>
    <w:p>
      <w:pPr>
        <w:spacing w:after="0" w:line="240" w:lineRule="exact"/>
        <w:rPr>
          <w:sz w:val="20"/>
          <w:szCs w:val="20"/>
          <w:color w:val="auto"/>
        </w:rPr>
      </w:pPr>
    </w:p>
    <w:p>
      <w:pPr>
        <w:jc w:val="both"/>
        <w:ind w:firstLine="473"/>
        <w:spacing w:after="0" w:line="275" w:lineRule="auto"/>
        <w:rPr>
          <w:sz w:val="20"/>
          <w:szCs w:val="20"/>
          <w:color w:val="auto"/>
        </w:rPr>
      </w:pPr>
      <w:r>
        <w:rPr>
          <w:rFonts w:ascii="Times New Roman" w:cs="Times New Roman" w:eastAsia="Times New Roman" w:hAnsi="Times New Roman"/>
          <w:sz w:val="16"/>
          <w:szCs w:val="16"/>
          <w:color w:val="auto"/>
        </w:rPr>
        <w:t>The Company operates in a number of major geographic areas, including internationally. Revenues from international locations primarily include Singapore, Canada, South American countries, European Union countries and other European countries, and countries in Africa, the Middle East and Asia/Pacific, including India. Revenues are based upon customer location and revenues from international locations represented 68% and 63% of consolidated net sales for 2023 and 2022, respectively. Sales to Singapore customers represented 19% of the Company's consolidated net sales for 2023. No other individual foreign country represented 10% or more of the Company's consolidated net sales for 2023. Sales to Singapore customers represented 16% of the Company's consolidated net sales for 2022. No other individual foreign country represented 10% or more of the Company's consolidated net sales for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and Credit Concentrations</w:t>
      </w:r>
    </w:p>
    <w:p>
      <w:pPr>
        <w:spacing w:after="0" w:line="244" w:lineRule="exact"/>
        <w:rPr>
          <w:sz w:val="20"/>
          <w:szCs w:val="20"/>
          <w:color w:val="auto"/>
        </w:rPr>
      </w:pPr>
    </w:p>
    <w:p>
      <w:pPr>
        <w:jc w:val="both"/>
        <w:ind w:firstLine="473"/>
        <w:spacing w:after="0" w:line="282" w:lineRule="auto"/>
        <w:rPr>
          <w:sz w:val="20"/>
          <w:szCs w:val="20"/>
          <w:color w:val="auto"/>
        </w:rPr>
      </w:pPr>
      <w:r>
        <w:rPr>
          <w:rFonts w:ascii="Times New Roman" w:cs="Times New Roman" w:eastAsia="Times New Roman" w:hAnsi="Times New Roman"/>
          <w:sz w:val="16"/>
          <w:szCs w:val="16"/>
          <w:color w:val="auto"/>
        </w:rPr>
        <w:t>Concentrations of risk with respect to trade accounts receivable are generally limited due to the large number of customers and their dispersion across several geographic areas. Although the Company does not foresee that credit risk associated with these receivables will deviate from historical experience, repayment is dependent upon the financial stability of those individual customers. The Company establishes allowances for credit losses and evaluates, on a monthly basis, the adequacy of those reserves based upon expected losses, historical experience and its expectation for future collectability concerns.</w:t>
      </w:r>
    </w:p>
    <w:p>
      <w:pPr>
        <w:spacing w:after="0" w:line="174" w:lineRule="exact"/>
        <w:rPr>
          <w:sz w:val="20"/>
          <w:szCs w:val="20"/>
          <w:color w:val="auto"/>
        </w:rPr>
      </w:pPr>
    </w:p>
    <w:p>
      <w:pPr>
        <w:jc w:val="both"/>
        <w:ind w:firstLine="473"/>
        <w:spacing w:after="0" w:line="241" w:lineRule="auto"/>
        <w:rPr>
          <w:sz w:val="20"/>
          <w:szCs w:val="20"/>
          <w:color w:val="auto"/>
        </w:rPr>
      </w:pPr>
      <w:r>
        <w:rPr>
          <w:rFonts w:ascii="Times New Roman" w:cs="Times New Roman" w:eastAsia="Times New Roman" w:hAnsi="Times New Roman"/>
          <w:sz w:val="18"/>
          <w:szCs w:val="18"/>
          <w:color w:val="auto"/>
        </w:rPr>
        <w:t>No single customer accounted for 10% or more of consolidated net sales for the years ended December 31, 2023 or 2022. One customer accounted for approximately 23% of accounts receivable at December 31, 2023. Two customers accounted for approximately 16% and 12% of accounts receivable at December 31, 2022. One customer accounted for 62% and 66% of long-term accounts receivable included in other non-current assets on the consolidated balance sheets related to sales-type leases at December 31, 2023 and December 31, 2022, respectively.</w:t>
      </w:r>
    </w:p>
    <w:p>
      <w:pPr>
        <w:spacing w:after="0" w:line="207" w:lineRule="exact"/>
        <w:rPr>
          <w:sz w:val="20"/>
          <w:szCs w:val="20"/>
          <w:color w:val="auto"/>
        </w:rPr>
      </w:pPr>
    </w:p>
    <w:p>
      <w:pPr>
        <w:jc w:val="both"/>
        <w:ind w:firstLine="473"/>
        <w:spacing w:after="0" w:line="235" w:lineRule="auto"/>
        <w:rPr>
          <w:sz w:val="20"/>
          <w:szCs w:val="20"/>
          <w:color w:val="auto"/>
        </w:rPr>
      </w:pPr>
      <w:r>
        <w:rPr>
          <w:rFonts w:ascii="Times New Roman" w:cs="Times New Roman" w:eastAsia="Times New Roman" w:hAnsi="Times New Roman"/>
          <w:sz w:val="18"/>
          <w:szCs w:val="18"/>
          <w:color w:val="auto"/>
        </w:rPr>
        <w:t>Certain components from third parties used in the Company’s products are procured from single sources of supply. The failure of a supplier, including a subcontractor, to deliver on schedule could delay or interrupt the Company’s delivery of products and thereby materially adversely affect the Company’s revenues and operating results.</w:t>
      </w:r>
    </w:p>
    <w:p>
      <w:pPr>
        <w:spacing w:after="0" w:line="200" w:lineRule="exact"/>
        <w:rPr>
          <w:sz w:val="20"/>
          <w:szCs w:val="20"/>
          <w:color w:val="auto"/>
        </w:rPr>
      </w:pPr>
    </w:p>
    <w:p>
      <w:pPr>
        <w:spacing w:after="0" w:line="25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6"/>
          <w:szCs w:val="16"/>
          <w:b w:val="1"/>
          <w:bCs w:val="1"/>
          <w:color w:val="auto"/>
        </w:rPr>
        <w:t>Fair Value Measurements</w:t>
      </w:r>
    </w:p>
    <w:p>
      <w:pPr>
        <w:spacing w:after="0" w:line="240" w:lineRule="exact"/>
        <w:rPr>
          <w:sz w:val="20"/>
          <w:szCs w:val="20"/>
          <w:color w:val="auto"/>
        </w:rPr>
      </w:pPr>
    </w:p>
    <w:p>
      <w:pPr>
        <w:jc w:val="both"/>
        <w:ind w:firstLine="473"/>
        <w:spacing w:after="0" w:line="250"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provides a framework for measuring fair value and requires expanded disclosures regarding fair value measurements.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ASC 820 describes three levels of inputs that may be used to measure fair value:</w:t>
      </w:r>
    </w:p>
    <w:p>
      <w:pPr>
        <w:spacing w:after="0" w:line="212" w:lineRule="exact"/>
        <w:rPr>
          <w:sz w:val="20"/>
          <w:szCs w:val="20"/>
          <w:color w:val="auto"/>
        </w:rPr>
      </w:pPr>
    </w:p>
    <w:p>
      <w:pPr>
        <w:ind w:left="1260" w:hanging="788"/>
        <w:spacing w:after="0" w:line="268" w:lineRule="auto"/>
        <w:tabs>
          <w:tab w:leader="none" w:pos="1240" w:val="left"/>
        </w:tabs>
        <w:rPr>
          <w:sz w:val="20"/>
          <w:szCs w:val="20"/>
          <w:color w:val="auto"/>
        </w:rPr>
      </w:pPr>
      <w:r>
        <w:rPr>
          <w:rFonts w:ascii="Times New Roman" w:cs="Times New Roman" w:eastAsia="Times New Roman" w:hAnsi="Times New Roman"/>
          <w:sz w:val="18"/>
          <w:szCs w:val="18"/>
          <w:color w:val="auto"/>
        </w:rPr>
        <w:t>Level 1:</w:t>
        <w:tab/>
        <w:t>Unadjusted quoted prices in active markets that are accessible at the measurement date for identical, unrestricted assets or liabilities. The Company’s Level 1 assets are investments in money market mutual funds and United States treasuries.</w:t>
      </w:r>
    </w:p>
    <w:p>
      <w:pPr>
        <w:spacing w:after="0" w:line="195" w:lineRule="exact"/>
        <w:rPr>
          <w:sz w:val="20"/>
          <w:szCs w:val="20"/>
          <w:color w:val="auto"/>
        </w:rPr>
      </w:pPr>
    </w:p>
    <w:p>
      <w:pPr>
        <w:ind w:left="1260" w:hanging="788"/>
        <w:spacing w:after="0" w:line="268" w:lineRule="auto"/>
        <w:tabs>
          <w:tab w:leader="none" w:pos="1240" w:val="left"/>
        </w:tabs>
        <w:rPr>
          <w:sz w:val="20"/>
          <w:szCs w:val="20"/>
          <w:color w:val="auto"/>
        </w:rPr>
      </w:pPr>
      <w:r>
        <w:rPr>
          <w:rFonts w:ascii="Times New Roman" w:cs="Times New Roman" w:eastAsia="Times New Roman" w:hAnsi="Times New Roman"/>
          <w:sz w:val="18"/>
          <w:szCs w:val="18"/>
          <w:color w:val="auto"/>
        </w:rPr>
        <w:t>Level 2:</w:t>
        <w:tab/>
        <w:t>Quoted prices for similar assets or liabilities in active markets; or observable prices that are based on observable market data, based on directly or indirectly market-corroborated inputs. The Company has no Level 2 assets or liabilities.</w:t>
      </w:r>
    </w:p>
    <w:p>
      <w:pPr>
        <w:spacing w:after="0" w:line="195" w:lineRule="exact"/>
        <w:rPr>
          <w:sz w:val="20"/>
          <w:szCs w:val="20"/>
          <w:color w:val="auto"/>
        </w:rPr>
      </w:pPr>
    </w:p>
    <w:p>
      <w:pPr>
        <w:ind w:left="1260" w:hanging="788"/>
        <w:spacing w:after="0" w:line="268" w:lineRule="auto"/>
        <w:tabs>
          <w:tab w:leader="none" w:pos="1240" w:val="left"/>
        </w:tabs>
        <w:rPr>
          <w:sz w:val="20"/>
          <w:szCs w:val="20"/>
          <w:color w:val="auto"/>
        </w:rPr>
      </w:pPr>
      <w:r>
        <w:rPr>
          <w:rFonts w:ascii="Times New Roman" w:cs="Times New Roman" w:eastAsia="Times New Roman" w:hAnsi="Times New Roman"/>
          <w:sz w:val="18"/>
          <w:szCs w:val="18"/>
          <w:color w:val="auto"/>
        </w:rPr>
        <w:t>Level 3:</w:t>
        <w:tab/>
        <w:t>Unobservable inputs that are supported by little or no market activity, and are developed based on the best information available given the circumstances. The Company has no Level 3 assets.</w:t>
      </w:r>
    </w:p>
    <w:p>
      <w:pPr>
        <w:spacing w:after="0" w:line="1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Assets and liabilities measured at fair value are based the valuation techniques identified in the table below.</w:t>
      </w:r>
    </w:p>
    <w:p>
      <w:pPr>
        <w:spacing w:after="0" w:line="240" w:lineRule="exact"/>
        <w:rPr>
          <w:sz w:val="20"/>
          <w:szCs w:val="20"/>
          <w:color w:val="auto"/>
        </w:rPr>
      </w:pPr>
    </w:p>
    <w:p>
      <w:pPr>
        <w:ind w:left="160" w:firstLine="316"/>
        <w:spacing w:after="0" w:line="268" w:lineRule="auto"/>
        <w:rPr>
          <w:sz w:val="20"/>
          <w:szCs w:val="20"/>
          <w:color w:val="auto"/>
        </w:rPr>
      </w:pPr>
      <w:r>
        <w:rPr>
          <w:rFonts w:ascii="Times New Roman" w:cs="Times New Roman" w:eastAsia="Times New Roman" w:hAnsi="Times New Roman"/>
          <w:sz w:val="18"/>
          <w:szCs w:val="18"/>
          <w:color w:val="auto"/>
        </w:rPr>
        <w:t>The following table presents financial assets and liabilities at December 31, 2023 and December 31, 2022 for which the Company measures fair value on a recurring basis, by level, within the fair value hierarchy:</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80" w:type="dxa"/>
            <w:vAlign w:val="bottom"/>
          </w:tcPr>
          <w:p>
            <w:pPr>
              <w:spacing w:after="0"/>
              <w:rPr>
                <w:sz w:val="17"/>
                <w:szCs w:val="17"/>
                <w:color w:val="auto"/>
              </w:rPr>
            </w:pPr>
          </w:p>
        </w:tc>
        <w:tc>
          <w:tcPr>
            <w:tcW w:w="11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7"/>
                <w:szCs w:val="17"/>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17"/>
                <w:szCs w:val="17"/>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17"/>
                <w:szCs w:val="17"/>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Valuation</w:t>
            </w:r>
          </w:p>
        </w:tc>
        <w:tc>
          <w:tcPr>
            <w:tcW w:w="0" w:type="dxa"/>
            <w:vAlign w:val="bottom"/>
          </w:tcPr>
          <w:p>
            <w:pPr>
              <w:spacing w:after="0"/>
              <w:rPr>
                <w:sz w:val="1"/>
                <w:szCs w:val="1"/>
                <w:color w:val="auto"/>
              </w:rPr>
            </w:pPr>
          </w:p>
        </w:tc>
      </w:tr>
      <w:tr>
        <w:trPr>
          <w:trHeight w:val="197"/>
        </w:trPr>
        <w:tc>
          <w:tcPr>
            <w:tcW w:w="422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32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b w:val="1"/>
                <w:bCs w:val="1"/>
                <w:color w:val="auto"/>
                <w:w w:val="96"/>
              </w:rPr>
              <w:t>Technique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2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58,477</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58,477</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99"/>
              </w:rPr>
              <w:t>(a)</w:t>
            </w:r>
          </w:p>
        </w:tc>
        <w:tc>
          <w:tcPr>
            <w:tcW w:w="0" w:type="dxa"/>
            <w:vAlign w:val="bottom"/>
          </w:tcPr>
          <w:p>
            <w:pPr>
              <w:spacing w:after="0"/>
              <w:rPr>
                <w:sz w:val="1"/>
                <w:szCs w:val="1"/>
                <w:color w:val="auto"/>
              </w:rPr>
            </w:pPr>
          </w:p>
        </w:tc>
      </w:tr>
      <w:tr>
        <w:trPr>
          <w:trHeight w:val="171"/>
        </w:trPr>
        <w:tc>
          <w:tcPr>
            <w:tcW w:w="20" w:type="dxa"/>
            <w:vAlign w:val="bottom"/>
            <w:vMerge w:val="restart"/>
            <w:shd w:val="clear" w:color="auto" w:fill="CCEEFF"/>
          </w:tcPr>
          <w:p>
            <w:pPr>
              <w:spacing w:after="0"/>
              <w:rPr>
                <w:sz w:val="14"/>
                <w:szCs w:val="14"/>
                <w:color w:val="auto"/>
              </w:rPr>
            </w:pPr>
          </w:p>
        </w:tc>
        <w:tc>
          <w:tcPr>
            <w:tcW w:w="1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6"/>
              </w:rPr>
              <w:t>December 31, 2022</w:t>
            </w:r>
          </w:p>
        </w:tc>
        <w:tc>
          <w:tcPr>
            <w:tcW w:w="2780" w:type="dxa"/>
            <w:vAlign w:val="bottom"/>
            <w:vMerge w:val="restart"/>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32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8"/>
                <w:szCs w:val="18"/>
                <w:b w:val="1"/>
                <w:bCs w:val="1"/>
                <w:color w:val="auto"/>
                <w:w w:val="94"/>
              </w:rPr>
              <w:t>Valuation</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vMerge w:val="continue"/>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2780" w:type="dxa"/>
            <w:vAlign w:val="bottom"/>
            <w:tcBorders>
              <w:bottom w:val="single" w:sz="8" w:color="CCEEFF"/>
            </w:tcBorders>
            <w:vMerge w:val="continue"/>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vMerge w:val="continue"/>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vMerge w:val="continue"/>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vMerge w:val="continue"/>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vMerge w:val="continue"/>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center"/>
              <w:spacing w:after="0" w:line="197" w:lineRule="exact"/>
              <w:rPr>
                <w:sz w:val="20"/>
                <w:szCs w:val="20"/>
                <w:color w:val="auto"/>
              </w:rPr>
            </w:pPr>
            <w:r>
              <w:rPr>
                <w:rFonts w:ascii="Times New Roman" w:cs="Times New Roman" w:eastAsia="Times New Roman" w:hAnsi="Times New Roman"/>
                <w:sz w:val="18"/>
                <w:szCs w:val="18"/>
                <w:b w:val="1"/>
                <w:bCs w:val="1"/>
                <w:color w:val="auto"/>
                <w:w w:val="96"/>
              </w:rPr>
              <w:t>Technique</w:t>
            </w:r>
          </w:p>
        </w:tc>
        <w:tc>
          <w:tcPr>
            <w:tcW w:w="0" w:type="dxa"/>
            <w:vAlign w:val="bottom"/>
          </w:tcPr>
          <w:p>
            <w:pPr>
              <w:spacing w:after="0"/>
              <w:rPr>
                <w:sz w:val="1"/>
                <w:szCs w:val="1"/>
                <w:color w:val="auto"/>
              </w:rPr>
            </w:pPr>
          </w:p>
        </w:tc>
      </w:tr>
      <w:tr>
        <w:trPr>
          <w:trHeight w:val="203"/>
        </w:trPr>
        <w:tc>
          <w:tcPr>
            <w:tcW w:w="4220" w:type="dxa"/>
            <w:vAlign w:val="bottom"/>
            <w:gridSpan w:val="3"/>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w w:val="99"/>
              </w:rPr>
              <w:t>(a)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United States treasuries</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24,703</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24,703</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99"/>
              </w:rPr>
              <w:t>(a)</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Market approach—prices and other relevant information generated by market transactions involving identical or comparable assets.</w:t>
      </w:r>
    </w:p>
    <w:p>
      <w:pPr>
        <w:spacing w:after="0" w:line="161"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The carrying amount of certain financial instruments approximates fair value due to their short-term, highly liquid nature. These instruments include cash and cash equivalents, accounts receivable, accounts payable, and accrued expenses. The carrying amount of the Company's operating and financing lease liabilities approximates fair value based on currently available quoted rates of similarly structured borrowings.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and Recorded at Fair Value on a Nonrecurring Basis</w:t>
      </w:r>
    </w:p>
    <w:p>
      <w:pPr>
        <w:spacing w:after="0" w:line="244"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The Company's non-financial assets, such as goodwill, intangible assets, and other long-lived assets resulting from business combinations, are measured at fair value using income approach valuation methodologies at the date of acquisition and subsequently re-measured if indications of impairment exist. During the twelve months prior to December 31, 2023, the Company recorded an impairment charge of $5,990 to goodwill and long-lived assets. See Note 1(l) and Note 8 for additional details. The Company does not have any liabilities that are recorded at fair value on a nonrecurring basis.</w:t>
      </w:r>
    </w:p>
    <w:p>
      <w:pPr>
        <w:spacing w:after="0" w:line="200" w:lineRule="exact"/>
        <w:rPr>
          <w:sz w:val="20"/>
          <w:szCs w:val="20"/>
          <w:color w:val="auto"/>
        </w:rPr>
      </w:pPr>
    </w:p>
    <w:p>
      <w:pPr>
        <w:spacing w:after="0" w:line="24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6"/>
          <w:szCs w:val="16"/>
          <w:b w:val="1"/>
          <w:bCs w:val="1"/>
          <w:color w:val="auto"/>
        </w:rPr>
        <w:t>Legal Matters</w:t>
      </w:r>
    </w:p>
    <w:p>
      <w:pPr>
        <w:spacing w:after="0" w:line="242" w:lineRule="exact"/>
        <w:rPr>
          <w:sz w:val="20"/>
          <w:szCs w:val="20"/>
          <w:color w:val="auto"/>
        </w:rPr>
      </w:pPr>
    </w:p>
    <w:p>
      <w:pPr>
        <w:jc w:val="both"/>
        <w:ind w:firstLine="257"/>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is a party to inquiries, legal proceedings and claims including, from time to time, disagreements with vendors and customers. The Company is not a party to any lawsuit or proceeding that, in management's opinion, is likely to materially harm the Company's business, results of operations, financial condition, or cash flows.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30" w:lineRule="exact"/>
        <w:rPr>
          <w:sz w:val="20"/>
          <w:szCs w:val="20"/>
          <w:color w:val="auto"/>
        </w:rPr>
      </w:pPr>
    </w:p>
    <w:p>
      <w:pPr>
        <w:ind w:left="520" w:hanging="515"/>
        <w:spacing w:after="0"/>
        <w:tabs>
          <w:tab w:leader="none" w:pos="52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w:t>
      </w:r>
    </w:p>
    <w:p>
      <w:pPr>
        <w:spacing w:after="0" w:line="242" w:lineRule="exact"/>
        <w:rPr>
          <w:sz w:val="20"/>
          <w:szCs w:val="20"/>
          <w:color w:val="auto"/>
        </w:rPr>
      </w:pPr>
    </w:p>
    <w:p>
      <w:pPr>
        <w:jc w:val="both"/>
        <w:ind w:firstLine="473"/>
        <w:spacing w:after="0" w:line="241" w:lineRule="auto"/>
        <w:rPr>
          <w:sz w:val="20"/>
          <w:szCs w:val="20"/>
          <w:color w:val="auto"/>
        </w:rPr>
      </w:pPr>
      <w:r>
        <w:rPr>
          <w:rFonts w:ascii="Times New Roman" w:cs="Times New Roman" w:eastAsia="Times New Roman" w:hAnsi="Times New Roman"/>
          <w:sz w:val="18"/>
          <w:szCs w:val="18"/>
          <w:color w:val="auto"/>
        </w:rPr>
        <w:t>The Company has operating leases for office facilities, equipment, and satellite service capacity and related equipment. Lease expense was $1,702 and $2,103 for the year ended December 31, 2023 and 2022, respectively. Short-term operating lease costs were $130 and $182 for the years ended December 31, 2023 and 2022, respectively. Maturities of lease liabilities as of December 31, 2023 under operating leases having an initial or remaining non-cancelable term of one year or more are as follows:</w:t>
      </w: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2040" w:type="dxa"/>
            <w:vAlign w:val="bottom"/>
            <w:tcBorders>
              <w:bottom w:val="single" w:sz="8" w:color="auto"/>
            </w:tcBorders>
          </w:tcPr>
          <w:p>
            <w:pPr>
              <w:spacing w:after="0" w:line="199" w:lineRule="exact"/>
              <w:rPr>
                <w:sz w:val="20"/>
                <w:szCs w:val="20"/>
                <w:color w:val="auto"/>
              </w:rPr>
            </w:pPr>
            <w:r>
              <w:rPr>
                <w:rFonts w:ascii="Times New Roman" w:cs="Times New Roman" w:eastAsia="Times New Roman" w:hAnsi="Times New Roman"/>
                <w:sz w:val="18"/>
                <w:szCs w:val="18"/>
                <w:b w:val="1"/>
                <w:bCs w:val="1"/>
                <w:color w:val="auto"/>
                <w:w w:val="95"/>
              </w:rPr>
              <w:t>Years ending December 31,</w:t>
            </w:r>
          </w:p>
        </w:tc>
        <w:tc>
          <w:tcPr>
            <w:tcW w:w="6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3"/>
        </w:trPr>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8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822</w:t>
            </w:r>
          </w:p>
        </w:tc>
      </w:tr>
      <w:tr>
        <w:trPr>
          <w:trHeight w:val="223"/>
        </w:trPr>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171</w:t>
            </w:r>
          </w:p>
        </w:tc>
      </w:tr>
      <w:tr>
        <w:trPr>
          <w:trHeight w:val="223"/>
        </w:trPr>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8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49</w:t>
            </w:r>
          </w:p>
        </w:tc>
      </w:tr>
      <w:tr>
        <w:trPr>
          <w:trHeight w:val="223"/>
        </w:trPr>
        <w:tc>
          <w:tcPr>
            <w:tcW w:w="8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and thereafter</w:t>
            </w:r>
          </w:p>
        </w:tc>
        <w:tc>
          <w:tcPr>
            <w:tcW w:w="8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w:t>
            </w:r>
          </w:p>
        </w:tc>
      </w:tr>
      <w:tr>
        <w:trPr>
          <w:trHeight w:val="217"/>
        </w:trPr>
        <w:tc>
          <w:tcPr>
            <w:tcW w:w="20" w:type="dxa"/>
            <w:vAlign w:val="bottom"/>
          </w:tcPr>
          <w:p>
            <w:pPr>
              <w:spacing w:after="0"/>
              <w:rPr>
                <w:sz w:val="18"/>
                <w:szCs w:val="18"/>
                <w:color w:val="auto"/>
              </w:rPr>
            </w:pPr>
          </w:p>
        </w:tc>
        <w:tc>
          <w:tcPr>
            <w:tcW w:w="8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88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1,130</w:t>
            </w:r>
          </w:p>
        </w:tc>
      </w:tr>
      <w:tr>
        <w:trPr>
          <w:trHeight w:val="263"/>
        </w:trPr>
        <w:tc>
          <w:tcPr>
            <w:tcW w:w="2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c>
          <w:tcPr>
            <w:tcW w:w="68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23"/>
        </w:trPr>
        <w:tc>
          <w:tcPr>
            <w:tcW w:w="89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8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(55)</w:t>
            </w:r>
          </w:p>
        </w:tc>
      </w:tr>
      <w:tr>
        <w:trPr>
          <w:trHeight w:val="217"/>
        </w:trPr>
        <w:tc>
          <w:tcPr>
            <w:tcW w:w="20" w:type="dxa"/>
            <w:vAlign w:val="bottom"/>
            <w:shd w:val="clear" w:color="auto" w:fill="CCEEFF"/>
          </w:tcPr>
          <w:p>
            <w:pPr>
              <w:spacing w:after="0"/>
              <w:rPr>
                <w:sz w:val="18"/>
                <w:szCs w:val="18"/>
                <w:color w:val="auto"/>
              </w:rPr>
            </w:pPr>
          </w:p>
        </w:tc>
        <w:tc>
          <w:tcPr>
            <w:tcW w:w="89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88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1,075</w:t>
            </w:r>
          </w:p>
        </w:tc>
      </w:tr>
      <w:tr>
        <w:trPr>
          <w:trHeight w:val="223"/>
        </w:trPr>
        <w:tc>
          <w:tcPr>
            <w:tcW w:w="89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Less current installments of obligation under current-operating lease liabilities</w:t>
            </w:r>
          </w:p>
        </w:tc>
        <w:tc>
          <w:tcPr>
            <w:tcW w:w="8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786</w:t>
            </w:r>
          </w:p>
        </w:tc>
      </w:tr>
      <w:tr>
        <w:trPr>
          <w:trHeight w:val="242"/>
        </w:trPr>
        <w:tc>
          <w:tcPr>
            <w:tcW w:w="20" w:type="dxa"/>
            <w:vAlign w:val="bottom"/>
            <w:tcBorders>
              <w:bottom w:val="single" w:sz="8" w:color="CCEEFF"/>
            </w:tcBorders>
            <w:shd w:val="clear" w:color="auto" w:fill="CCEEFF"/>
          </w:tcPr>
          <w:p>
            <w:pPr>
              <w:spacing w:after="0"/>
              <w:rPr>
                <w:sz w:val="20"/>
                <w:szCs w:val="20"/>
                <w:color w:val="auto"/>
              </w:rPr>
            </w:pPr>
          </w:p>
        </w:tc>
        <w:tc>
          <w:tcPr>
            <w:tcW w:w="89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Obligations under long-term operating lease liabilities, excluding current installments</w:t>
            </w:r>
          </w:p>
        </w:tc>
        <w:tc>
          <w:tcPr>
            <w:tcW w:w="880" w:type="dxa"/>
            <w:vAlign w:val="bottom"/>
            <w:tcBorders>
              <w:bottom w:val="single" w:sz="8" w:color="auto"/>
            </w:tcBorders>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3"/>
        </w:trPr>
        <w:tc>
          <w:tcPr>
            <w:tcW w:w="8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 (years)</w:t>
            </w:r>
          </w:p>
        </w:tc>
        <w:tc>
          <w:tcPr>
            <w:tcW w:w="8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8"/>
        </w:trPr>
        <w:tc>
          <w:tcPr>
            <w:tcW w:w="8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8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5.50 %</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w:t>
      </w:r>
    </w:p>
    <w:p>
      <w:pPr>
        <w:spacing w:after="0" w:line="242"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The Company enters into leases with certain customers primarily for the TracPhone VSAT systems. These leases are classified as sales-type leases because title to the equipment transfers to the customer at the end of the lease term. The Company records the leases at a price typically equivalent to normal selling price and in excess of the cost or carrying amount. Upon delivery, the Company records the net present value of all payments under these leases as product revenue, and the related costs of the product are charged to cost of sales. Interest income is recognized throughout the lease term (typically three to five years) using an implicit interest rate. The sales-type leases do not have unguaranteed residual assets.</w:t>
      </w:r>
    </w:p>
    <w:p>
      <w:pPr>
        <w:spacing w:after="0" w:line="214"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Upon adoption of ASC 842, the Company elected to apply the practical expedient provided to lessors to combine the lease and non-lease component of a contract where the revenue recognition pattern is the same and where the lease component, when accounted for separately, would be considered an operating lease. The practical expedient also allows a lessor to account for the combined lease and non-lease components under ASC 606, Revenue from Contracts with Customers, when the non-lease component is the predominant element of the combined component.</w:t>
      </w:r>
    </w:p>
    <w:p>
      <w:pPr>
        <w:spacing w:after="0" w:line="208"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The current portion of the net investment in these leases was $3,654 as of December 31, 2023 and the non-current portion of the net investment in these leases was $3,617 as of December 31, 2023. The current portion of the net investment in the leases is included in accounts receivable, net of allowance for doubtful accounts on the accompanying consolidated balance sheets and the non-current portion of the net investment in these leases is included in other non-current assets on the accompanying consolidated balance sheets. Interest income from sales-type leases was $644 and $764 during the year ended December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980" w:type="dxa"/>
            <w:vAlign w:val="bottom"/>
          </w:tcPr>
          <w:p>
            <w:pPr>
              <w:jc w:val="center"/>
              <w:ind w:left="2092"/>
              <w:spacing w:after="0"/>
              <w:rPr>
                <w:sz w:val="20"/>
                <w:szCs w:val="20"/>
                <w:color w:val="auto"/>
              </w:rPr>
            </w:pPr>
            <w:r>
              <w:rPr>
                <w:rFonts w:ascii="Times New Roman" w:cs="Times New Roman" w:eastAsia="Times New Roman" w:hAnsi="Times New Roman"/>
                <w:sz w:val="18"/>
                <w:szCs w:val="18"/>
                <w:b w:val="1"/>
                <w:bCs w:val="1"/>
                <w:color w:val="auto"/>
                <w:w w:val="97"/>
              </w:rPr>
              <w:t>KVH INDUSTRIES, INC. AND SUBSIDIARIES</w:t>
            </w:r>
          </w:p>
        </w:tc>
        <w:tc>
          <w:tcPr>
            <w:tcW w:w="9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8980" w:type="dxa"/>
            <w:vAlign w:val="bottom"/>
          </w:tcPr>
          <w:p>
            <w:pPr>
              <w:jc w:val="center"/>
              <w:ind w:left="2092"/>
              <w:spacing w:after="0"/>
              <w:rPr>
                <w:sz w:val="20"/>
                <w:szCs w:val="20"/>
                <w:color w:val="auto"/>
              </w:rPr>
            </w:pPr>
            <w:r>
              <w:rPr>
                <w:rFonts w:ascii="Times New Roman" w:cs="Times New Roman" w:eastAsia="Times New Roman" w:hAnsi="Times New Roman"/>
                <w:sz w:val="18"/>
                <w:szCs w:val="18"/>
                <w:b w:val="1"/>
                <w:bCs w:val="1"/>
                <w:color w:val="auto"/>
                <w:w w:val="96"/>
              </w:rPr>
              <w:t>NOTES TO CONSOLIDATED FINANCIAL STATEMENTS - (Continued)</w:t>
            </w: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0"/>
        </w:trPr>
        <w:tc>
          <w:tcPr>
            <w:tcW w:w="8980" w:type="dxa"/>
            <w:vAlign w:val="bottom"/>
          </w:tcPr>
          <w:p>
            <w:pPr>
              <w:jc w:val="center"/>
              <w:ind w:left="2112"/>
              <w:spacing w:after="0"/>
              <w:rPr>
                <w:sz w:val="20"/>
                <w:szCs w:val="20"/>
                <w:color w:val="auto"/>
              </w:rPr>
            </w:pPr>
            <w:r>
              <w:rPr>
                <w:rFonts w:ascii="Times New Roman" w:cs="Times New Roman" w:eastAsia="Times New Roman" w:hAnsi="Times New Roman"/>
                <w:sz w:val="18"/>
                <w:szCs w:val="18"/>
                <w:b w:val="1"/>
                <w:bCs w:val="1"/>
                <w:color w:val="auto"/>
                <w:w w:val="97"/>
              </w:rPr>
              <w:t>December 31, 2023 and 2022</w:t>
            </w: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8980" w:type="dxa"/>
            <w:vAlign w:val="bottom"/>
          </w:tcPr>
          <w:p>
            <w:pPr>
              <w:jc w:val="center"/>
              <w:ind w:left="2112"/>
              <w:spacing w:after="0"/>
              <w:rPr>
                <w:sz w:val="20"/>
                <w:szCs w:val="20"/>
                <w:color w:val="auto"/>
              </w:rPr>
            </w:pPr>
            <w:r>
              <w:rPr>
                <w:rFonts w:ascii="Times New Roman" w:cs="Times New Roman" w:eastAsia="Times New Roman" w:hAnsi="Times New Roman"/>
                <w:sz w:val="18"/>
                <w:szCs w:val="18"/>
                <w:b w:val="1"/>
                <w:bCs w:val="1"/>
                <w:color w:val="auto"/>
                <w:w w:val="97"/>
              </w:rPr>
              <w:t>(in thousands, except per share amounts)</w:t>
            </w:r>
          </w:p>
        </w:tc>
        <w:tc>
          <w:tcPr>
            <w:tcW w:w="9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657"/>
        </w:trPr>
        <w:tc>
          <w:tcPr>
            <w:tcW w:w="8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future undiscounted cash flows from these leases as of December 31, 2023 are:</w:t>
            </w: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9"/>
        </w:trPr>
        <w:tc>
          <w:tcPr>
            <w:tcW w:w="89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223"/>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w:t>
            </w:r>
          </w:p>
        </w:tc>
      </w:tr>
      <w:tr>
        <w:trPr>
          <w:trHeight w:val="22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9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w:t>
            </w:r>
          </w:p>
        </w:tc>
      </w:tr>
      <w:tr>
        <w:trPr>
          <w:trHeight w:val="223"/>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r>
      <w:tr>
        <w:trPr>
          <w:trHeight w:val="22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9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23"/>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9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17"/>
        </w:trPr>
        <w:tc>
          <w:tcPr>
            <w:tcW w:w="8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92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8,024</w:t>
            </w:r>
          </w:p>
        </w:tc>
      </w:tr>
      <w:tr>
        <w:trPr>
          <w:trHeight w:val="263"/>
        </w:trPr>
        <w:tc>
          <w:tcPr>
            <w:tcW w:w="89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23"/>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92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7,271</w:t>
            </w:r>
          </w:p>
        </w:tc>
      </w:tr>
      <w:tr>
        <w:trPr>
          <w:trHeight w:val="242"/>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Difference between undiscounted cash flows and discounted cash flows</w:t>
            </w:r>
          </w:p>
        </w:tc>
        <w:tc>
          <w:tcPr>
            <w:tcW w:w="920" w:type="dxa"/>
            <w:vAlign w:val="bottom"/>
            <w:tcBorders>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In 2021, the Company began entering into three-year leases for its TracPhone VSAT systems, in which ownership of the hardware does not transfer to the lessee by the end of the lease term. As a result, and in light of other factors indicated in ASC 842, these leases are classified as operating leases.</w:t>
      </w:r>
    </w:p>
    <w:p>
      <w:pPr>
        <w:spacing w:after="0" w:line="195"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As of December 31, 2023, the gross costs and accumulated depreciation associated with these operating leases are included in revenue generating assets and amounted to $1,880 and $892, respectively. They are depreciated on a straight-line basis over a five-year estimated useful life. Depreciation expense for these assets was $376 and $360 for the year ended December 31, 2023 and 2022, respectively.</w:t>
      </w:r>
    </w:p>
    <w:p>
      <w:pPr>
        <w:spacing w:after="0" w:line="205"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Lease revenue recognized was $553 and $537 for the year ended December 31, 2023 and 2022, respectively, in service sales in the statements of operations.</w:t>
      </w:r>
    </w:p>
    <w:p>
      <w:pPr>
        <w:spacing w:after="0" w:line="1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December 31, 2023, minimum future lease payments to be received on the operating leases are as follows:</w:t>
      </w:r>
    </w:p>
    <w:p>
      <w:pPr>
        <w:spacing w:after="0" w:line="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-127635</wp:posOffset>
            </wp:positionV>
            <wp:extent cx="6897370" cy="1416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3">
                      <a:extLst>
                        <a:ext uri="{28A0092B-C50C-407E-A947-70E740481C1C}"/>
                      </a:extLst>
                    </a:blip>
                    <a:srcRect/>
                    <a:stretch>
                      <a:fillRect/>
                    </a:stretch>
                  </pic:blipFill>
                  <pic:spPr bwMode="auto">
                    <a:xfrm>
                      <a:off x="0" y="0"/>
                      <a:ext cx="6897370" cy="141605"/>
                    </a:xfrm>
                    <a:prstGeom prst="rect">
                      <a:avLst/>
                    </a:prstGeom>
                    <a:noFill/>
                  </pic:spPr>
                </pic:pic>
              </a:graphicData>
            </a:graphic>
          </wp:anchor>
        </w:drawing>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10795</wp:posOffset>
            </wp:positionV>
            <wp:extent cx="6897370" cy="1670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4">
                      <a:extLst>
                        <a:ext uri="{28A0092B-C50C-407E-A947-70E740481C1C}"/>
                      </a:extLst>
                    </a:blip>
                    <a:srcRect/>
                    <a:stretch>
                      <a:fillRect/>
                    </a:stretch>
                  </pic:blipFill>
                  <pic:spPr bwMode="auto">
                    <a:xfrm>
                      <a:off x="0" y="0"/>
                      <a:ext cx="6897370" cy="167005"/>
                    </a:xfrm>
                    <a:prstGeom prst="rect">
                      <a:avLst/>
                    </a:prstGeom>
                    <a:noFill/>
                  </pic:spPr>
                </pic:pic>
              </a:graphicData>
            </a:graphic>
          </wp:anchor>
        </w:drawing>
      </w:r>
    </w:p>
    <w:p>
      <w:pPr>
        <w:spacing w:after="0" w:line="5" w:lineRule="exact"/>
        <w:rPr>
          <w:sz w:val="20"/>
          <w:szCs w:val="20"/>
          <w:color w:val="auto"/>
        </w:rPr>
      </w:pPr>
    </w:p>
    <w:p>
      <w:pPr>
        <w:ind w:left="820"/>
        <w:spacing w:after="0"/>
        <w:tabs>
          <w:tab w:leader="none" w:pos="9460" w:val="left"/>
        </w:tabs>
        <w:rPr>
          <w:sz w:val="20"/>
          <w:szCs w:val="20"/>
          <w:color w:val="auto"/>
        </w:rPr>
      </w:pPr>
      <w:r>
        <w:rPr>
          <w:rFonts w:ascii="Times New Roman" w:cs="Times New Roman" w:eastAsia="Times New Roman" w:hAnsi="Times New Roman"/>
          <w:sz w:val="18"/>
          <w:szCs w:val="18"/>
          <w:color w:val="auto"/>
        </w:rPr>
        <w:t>Total</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6003925</wp:posOffset>
            </wp:positionH>
            <wp:positionV relativeFrom="paragraph">
              <wp:posOffset>38735</wp:posOffset>
            </wp:positionV>
            <wp:extent cx="119697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5">
                      <a:extLst>
                        <a:ext uri="{28A0092B-C50C-407E-A947-70E740481C1C}"/>
                      </a:extLst>
                    </a:blip>
                    <a:srcRect/>
                    <a:stretch>
                      <a:fillRect/>
                    </a:stretch>
                  </pic:blipFill>
                  <pic:spPr bwMode="auto">
                    <a:xfrm>
                      <a:off x="0" y="0"/>
                      <a:ext cx="1196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20" w:hanging="515"/>
        <w:spacing w:after="0"/>
        <w:tabs>
          <w:tab w:leader="none" w:pos="52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Discontinued Operations</w:t>
      </w:r>
    </w:p>
    <w:p>
      <w:pPr>
        <w:spacing w:after="0" w:line="242"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During the third quarter of 2022, the Company sold its inertial navigation business. The Company determined that the sale met the requirements for reporting as discontinued operations in accordance with Accounting Standards Codification (ASC) 205-20. There were no assets or liabilities of the inertial navigation business as of December 31, 2023 or 2022. Please see Note 1 for further discussion.</w:t>
      </w:r>
    </w:p>
    <w:p>
      <w:pPr>
        <w:spacing w:after="0" w:line="205" w:lineRule="exact"/>
        <w:rPr>
          <w:sz w:val="20"/>
          <w:szCs w:val="20"/>
          <w:color w:val="auto"/>
        </w:rPr>
      </w:pPr>
    </w:p>
    <w:p>
      <w:pPr>
        <w:jc w:val="both"/>
        <w:ind w:firstLine="315"/>
        <w:spacing w:after="0" w:line="296" w:lineRule="auto"/>
        <w:rPr>
          <w:sz w:val="20"/>
          <w:szCs w:val="20"/>
          <w:color w:val="auto"/>
        </w:rPr>
      </w:pPr>
      <w:r>
        <w:rPr>
          <w:rFonts w:ascii="Times New Roman" w:cs="Times New Roman" w:eastAsia="Times New Roman" w:hAnsi="Times New Roman"/>
          <w:sz w:val="16"/>
          <w:szCs w:val="16"/>
          <w:color w:val="auto"/>
        </w:rPr>
        <w:t>The following table presents a reconciliation of the major financial line items constituting the results for discontinued operations to the net income from discontinued operations, net of tax, presented separately in the Company's consolidated statement of operations for the year ended December 31, 2022:</w:t>
      </w:r>
    </w:p>
    <w:tbl>
      <w:tblPr>
        <w:tblLayout w:type="fixed"/>
        <w:tblInd w:w="0" w:type="dxa"/>
        <w:tblCellMar>
          <w:top w:w="0" w:type="dxa"/>
          <w:left w:w="0" w:type="dxa"/>
          <w:bottom w:w="0" w:type="dxa"/>
          <w:right w:w="0" w:type="dxa"/>
        </w:tblCellMar>
      </w:tblPr>
      <w:tr>
        <w:trPr>
          <w:trHeight w:val="185"/>
        </w:trPr>
        <w:tc>
          <w:tcPr>
            <w:tcW w:w="8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0" w:type="dxa"/>
            <w:vAlign w:val="bottom"/>
          </w:tcPr>
          <w:p>
            <w:pPr>
              <w:spacing w:after="0"/>
              <w:rPr>
                <w:sz w:val="1"/>
                <w:szCs w:val="1"/>
                <w:color w:val="auto"/>
              </w:rPr>
            </w:pPr>
          </w:p>
        </w:tc>
      </w:tr>
      <w:tr>
        <w:trPr>
          <w:trHeight w:val="197"/>
        </w:trPr>
        <w:tc>
          <w:tcPr>
            <w:tcW w:w="8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4"/>
        </w:trPr>
        <w:tc>
          <w:tcPr>
            <w:tcW w:w="8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Sales:</w:t>
            </w:r>
          </w:p>
        </w:tc>
        <w:tc>
          <w:tcPr>
            <w:tcW w:w="3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Product</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Service</w:t>
            </w:r>
          </w:p>
        </w:tc>
        <w:tc>
          <w:tcPr>
            <w:tcW w:w="3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9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expenses and other income, net:</w:t>
            </w:r>
          </w:p>
        </w:tc>
        <w:tc>
          <w:tcPr>
            <w:tcW w:w="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Costs of product sales</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Costs of service sales</w:t>
            </w: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&amp; development</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marketing and support</w:t>
            </w: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Loss from discontinued operations before income tax expense</w:t>
            </w:r>
          </w:p>
        </w:tc>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discontinued operations before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from discontinued operations before tax expense</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on discontinued operations</w:t>
            </w:r>
          </w:p>
        </w:tc>
        <w:tc>
          <w:tcPr>
            <w:tcW w:w="3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from discontinued operations, net of taxes</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from discontinued operations per common share</w:t>
            </w:r>
          </w:p>
        </w:tc>
        <w:tc>
          <w:tcPr>
            <w:tcW w:w="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980" w:type="dxa"/>
            <w:vAlign w:val="bottom"/>
            <w:tcBorders>
              <w:bottom w:val="single" w:sz="8" w:color="CCEEFF"/>
            </w:tcBorders>
            <w:shd w:val="clear" w:color="auto" w:fill="CCEEFF"/>
          </w:tcPr>
          <w:p>
            <w:pPr>
              <w:ind w:left="340"/>
              <w:spacing w:after="0" w:line="197" w:lineRule="exact"/>
              <w:rPr>
                <w:sz w:val="20"/>
                <w:szCs w:val="20"/>
                <w:color w:val="auto"/>
              </w:rPr>
            </w:pPr>
            <w:r>
              <w:rPr>
                <w:rFonts w:ascii="Times New Roman" w:cs="Times New Roman" w:eastAsia="Times New Roman" w:hAnsi="Times New Roman"/>
                <w:sz w:val="18"/>
                <w:szCs w:val="18"/>
                <w:color w:val="auto"/>
              </w:rPr>
              <w:t>Basic and diluted</w:t>
            </w:r>
          </w:p>
        </w:tc>
        <w:tc>
          <w:tcPr>
            <w:tcW w:w="320" w:type="dxa"/>
            <w:vAlign w:val="bottom"/>
            <w:tcBorders>
              <w:bottom w:val="single" w:sz="8" w:color="auto"/>
            </w:tcBorders>
            <w:shd w:val="clear" w:color="auto" w:fill="CCEEFF"/>
          </w:tcPr>
          <w:p>
            <w:pPr>
              <w:jc w:val="right"/>
              <w:ind w:right="132"/>
              <w:spacing w:after="0" w:line="197"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Borders>
              <w:bottom w:val="single" w:sz="8" w:color="auto"/>
            </w:tcBorders>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1.50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80" w:type="dxa"/>
            <w:vAlign w:val="bottom"/>
            <w:tcBorders>
              <w:top w:val="single" w:sz="8" w:color="CCEEFF"/>
              <w:bottom w:val="single" w:sz="8" w:color="CCEEFF"/>
            </w:tcBorders>
            <w:vMerge w:val="restart"/>
          </w:tcPr>
          <w:p>
            <w:pPr>
              <w:ind w:left="20"/>
              <w:spacing w:after="0" w:line="183" w:lineRule="exact"/>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980" w:type="dxa"/>
            <w:vAlign w:val="bottom"/>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8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18,632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980" w:type="dxa"/>
            <w:vAlign w:val="bottom"/>
            <w:tcBorders>
              <w:top w:val="single" w:sz="8" w:color="CCEEFF"/>
              <w:bottom w:val="single" w:sz="8" w:color="CCEEFF"/>
            </w:tcBorders>
            <w:vMerge w:val="restart"/>
          </w:tcPr>
          <w:p>
            <w:pPr>
              <w:ind w:left="480"/>
              <w:spacing w:after="0"/>
              <w:rPr>
                <w:sz w:val="20"/>
                <w:szCs w:val="20"/>
                <w:color w:val="auto"/>
              </w:rPr>
            </w:pPr>
            <w:r>
              <w:rPr>
                <w:rFonts w:ascii="Times New Roman" w:cs="Times New Roman" w:eastAsia="Times New Roman" w:hAnsi="Times New Roman"/>
                <w:sz w:val="18"/>
                <w:szCs w:val="18"/>
                <w:color w:val="auto"/>
              </w:rPr>
              <w:t>The following table presents supplemental cash flow information of the discontinued operations: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89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8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0" w:type="dxa"/>
            <w:vAlign w:val="bottom"/>
          </w:tcPr>
          <w:p>
            <w:pPr>
              <w:spacing w:after="0"/>
              <w:rPr>
                <w:sz w:val="1"/>
                <w:szCs w:val="1"/>
                <w:color w:val="auto"/>
              </w:rPr>
            </w:pPr>
          </w:p>
        </w:tc>
      </w:tr>
      <w:tr>
        <w:trPr>
          <w:trHeight w:val="197"/>
        </w:trPr>
        <w:tc>
          <w:tcPr>
            <w:tcW w:w="8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4"/>
        </w:trPr>
        <w:tc>
          <w:tcPr>
            <w:tcW w:w="8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operating activities—discontinued operations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activities—discontinued operations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5"/>
        </w:trPr>
        <w:tc>
          <w:tcPr>
            <w:tcW w:w="89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77</w:t>
            </w: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89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non-cash expenses from discontinued operations: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80" w:type="dxa"/>
            <w:vAlign w:val="bottom"/>
          </w:tcPr>
          <w:p>
            <w:pPr>
              <w:jc w:val="center"/>
              <w:ind w:right="321"/>
              <w:spacing w:after="0"/>
              <w:rPr>
                <w:sz w:val="20"/>
                <w:szCs w:val="20"/>
                <w:color w:val="auto"/>
              </w:rPr>
            </w:pPr>
            <w:r>
              <w:rPr>
                <w:rFonts w:ascii="Times New Roman" w:cs="Times New Roman" w:eastAsia="Times New Roman" w:hAnsi="Times New Roman"/>
                <w:sz w:val="14"/>
                <w:szCs w:val="14"/>
                <w:b w:val="1"/>
                <w:bCs w:val="1"/>
                <w:color w:val="auto"/>
                <w:w w:val="97"/>
              </w:rPr>
              <w:t>Year Ended</w:t>
            </w:r>
          </w:p>
        </w:tc>
      </w:tr>
      <w:tr>
        <w:trPr>
          <w:trHeight w:val="197"/>
        </w:trPr>
        <w:tc>
          <w:tcPr>
            <w:tcW w:w="8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80" w:type="dxa"/>
            <w:vAlign w:val="bottom"/>
          </w:tcPr>
          <w:p>
            <w:pPr>
              <w:jc w:val="center"/>
              <w:ind w:right="32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4"/>
        </w:trPr>
        <w:tc>
          <w:tcPr>
            <w:tcW w:w="89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184"/>
        </w:trPr>
        <w:tc>
          <w:tcPr>
            <w:tcW w:w="89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23"/>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2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expense related to stock-based awards and employee stock purchase plan</w:t>
            </w: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23"/>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bl>
    <w:p>
      <w:pPr>
        <w:spacing w:after="0" w:line="30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6"/>
          <w:szCs w:val="16"/>
          <w:b w:val="1"/>
          <w:bCs w:val="1"/>
          <w:color w:val="auto"/>
        </w:rPr>
        <w:t>Subsequent Events</w:t>
      </w:r>
    </w:p>
    <w:p>
      <w:pPr>
        <w:spacing w:after="0" w:line="242" w:lineRule="exact"/>
        <w:rPr>
          <w:sz w:val="20"/>
          <w:szCs w:val="20"/>
          <w:color w:val="auto"/>
        </w:rPr>
      </w:pPr>
    </w:p>
    <w:p>
      <w:pPr>
        <w:jc w:val="both"/>
        <w:ind w:firstLine="473"/>
        <w:spacing w:after="0" w:line="288" w:lineRule="auto"/>
        <w:rPr>
          <w:sz w:val="20"/>
          <w:szCs w:val="20"/>
          <w:color w:val="auto"/>
        </w:rPr>
      </w:pPr>
      <w:r>
        <w:rPr>
          <w:rFonts w:ascii="Times New Roman" w:cs="Times New Roman" w:eastAsia="Times New Roman" w:hAnsi="Times New Roman"/>
          <w:sz w:val="16"/>
          <w:szCs w:val="16"/>
          <w:color w:val="auto"/>
        </w:rPr>
        <w:t>On February 9, 2024, the Board of Directors of the Company voted to implement a staged wind-down of the Company’s manufacturing activities at its facility in Middletown, Rhode Island. The Board made this determination following a strategic review of the Company’s manufacturing operations, driven by reduced demand for the Company’s hardware products in the face of intensifying competition during the third and fourth quarters of 2023. The Board concluded that the Company should discontinue its capital-intensive manufacturing activities and concentrate its efforts on growing sales of its multi-orbit, multi-channel, integrated communications solutions, which in recent years have constituted the largest portion of the Company’s overall revenues.</w:t>
      </w:r>
    </w:p>
    <w:p>
      <w:pPr>
        <w:spacing w:after="0" w:line="184"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The Company expects that it will continue its product manufacturing activities for a period of time in order to generate a targeted amount of inventory of maritime satellite connectivity and satellite television terminals to meet anticipated demand and that it will cease substantially all manufacturing activity at the Middletown facility by the end of the second quarter of 2024. The Company expects to continue to facilitate customer transition to third-party hardware products compatible with the Company’s mobile satellite communications services. The Company also plans to continue to conduct maintenance, service, warehousing, shipping and receiving activities at the Middletown location.</w:t>
      </w:r>
    </w:p>
    <w:p>
      <w:pPr>
        <w:spacing w:after="0" w:line="214"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As part of the restructuring, the Company expects to reduce its headcount by approximately 75 employees, or approximately 20% of its total workforce at the time of the Board's determination. Approximately one-third of the employee terminations are expected to take place by mid-March, and the remaining terminations are expected to be completed by the end of the second quarter of 2024. The Company expects to incur aggregate severance charges of approximately $3.3 million, consisting of approximately $3.0 million of cash charges and approximately $0.3 million of non-cash charges arising from pre-existing contractual obligations to accelerate vesting of certain outstanding equity compensation awards.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3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6"/>
          <w:szCs w:val="16"/>
          <w:b w:val="1"/>
          <w:bCs w:val="1"/>
          <w:color w:val="auto"/>
        </w:rPr>
        <w:t>Quarterly Financial Results (Unaudited)</w:t>
      </w:r>
    </w:p>
    <w:p>
      <w:pPr>
        <w:spacing w:after="0" w:line="229" w:lineRule="exact"/>
        <w:rPr>
          <w:sz w:val="20"/>
          <w:szCs w:val="20"/>
          <w:color w:val="auto"/>
        </w:rPr>
      </w:pPr>
    </w:p>
    <w:p>
      <w:pPr>
        <w:jc w:val="both"/>
        <w:ind w:firstLine="473"/>
        <w:spacing w:after="0" w:line="237" w:lineRule="auto"/>
        <w:rPr>
          <w:sz w:val="20"/>
          <w:szCs w:val="20"/>
          <w:color w:val="auto"/>
        </w:rPr>
      </w:pPr>
      <w:r>
        <w:rPr>
          <w:rFonts w:ascii="Times New Roman" w:cs="Times New Roman" w:eastAsia="Times New Roman" w:hAnsi="Times New Roman"/>
          <w:sz w:val="18"/>
          <w:szCs w:val="18"/>
          <w:color w:val="auto"/>
        </w:rPr>
        <w:t>The quarterly financial information provided below for each of the quarters in the years ended December 31, 2023 and 2022 reflects the corrections described in Note 1(a) - Summary of Significant Accounting Policies - Revision for Correction of Immaterial Errors. As a result of the immaterial errors discussed in Note 1(a), net sales, cost of product sales, and sales, marketing and support expense were each corrected from those amounts reported in the respective Form 10-Q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220" w:type="dxa"/>
            <w:vAlign w:val="bottom"/>
          </w:tcPr>
          <w:p>
            <w:pPr>
              <w:spacing w:after="0"/>
              <w:rPr>
                <w:sz w:val="16"/>
                <w:szCs w:val="16"/>
                <w:color w:val="auto"/>
              </w:rPr>
            </w:pPr>
          </w:p>
        </w:tc>
        <w:tc>
          <w:tcPr>
            <w:tcW w:w="130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260" w:type="dxa"/>
            <w:vAlign w:val="bottom"/>
          </w:tcPr>
          <w:p>
            <w:pPr>
              <w:spacing w:after="0"/>
              <w:rPr>
                <w:sz w:val="16"/>
                <w:szCs w:val="16"/>
                <w:color w:val="auto"/>
              </w:rPr>
            </w:pPr>
          </w:p>
        </w:tc>
        <w:tc>
          <w:tcPr>
            <w:tcW w:w="128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240" w:type="dxa"/>
            <w:vAlign w:val="bottom"/>
          </w:tcPr>
          <w:p>
            <w:pPr>
              <w:spacing w:after="0"/>
              <w:rPr>
                <w:sz w:val="16"/>
                <w:szCs w:val="16"/>
                <w:color w:val="auto"/>
              </w:rPr>
            </w:pPr>
          </w:p>
        </w:tc>
        <w:tc>
          <w:tcPr>
            <w:tcW w:w="126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Fourth Quarter</w:t>
            </w:r>
          </w:p>
        </w:tc>
      </w:tr>
      <w:tr>
        <w:trPr>
          <w:trHeight w:val="24"/>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3"/>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w w:val="93"/>
              </w:rPr>
              <w:t>2023</w:t>
            </w:r>
          </w:p>
        </w:tc>
        <w:tc>
          <w:tcPr>
            <w:tcW w:w="48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r>
      <w:tr>
        <w:trPr>
          <w:trHeight w:val="208"/>
        </w:trPr>
        <w:tc>
          <w:tcPr>
            <w:tcW w:w="51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sales - as originally reported</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33,689</w:t>
            </w:r>
          </w:p>
        </w:tc>
        <w:tc>
          <w:tcPr>
            <w:tcW w:w="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34,171</w:t>
            </w:r>
          </w:p>
        </w:tc>
        <w:tc>
          <w:tcPr>
            <w:tcW w:w="2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33,549</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r>
      <w:tr>
        <w:trPr>
          <w:trHeight w:val="212"/>
        </w:trPr>
        <w:tc>
          <w:tcPr>
            <w:tcW w:w="5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 - adjustment (1)</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454</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8"/>
        </w:trPr>
        <w:tc>
          <w:tcPr>
            <w:tcW w:w="51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sales - as corrected (1)</w:t>
            </w:r>
          </w:p>
        </w:tc>
        <w:tc>
          <w:tcPr>
            <w:tcW w:w="200" w:type="dxa"/>
            <w:vAlign w:val="bottom"/>
          </w:tcPr>
          <w:p>
            <w:pPr>
              <w:spacing w:after="0"/>
              <w:rPr>
                <w:sz w:val="18"/>
                <w:szCs w:val="18"/>
                <w:color w:val="auto"/>
              </w:rPr>
            </w:pP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34,143</w:t>
            </w:r>
          </w:p>
        </w:tc>
        <w:tc>
          <w:tcPr>
            <w:tcW w:w="220" w:type="dxa"/>
            <w:vAlign w:val="bottom"/>
          </w:tcPr>
          <w:p>
            <w:pPr>
              <w:spacing w:after="0"/>
              <w:rPr>
                <w:sz w:val="18"/>
                <w:szCs w:val="18"/>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33,586</w:t>
            </w:r>
          </w:p>
        </w:tc>
        <w:tc>
          <w:tcPr>
            <w:tcW w:w="260" w:type="dxa"/>
            <w:vAlign w:val="bottom"/>
          </w:tcPr>
          <w:p>
            <w:pPr>
              <w:spacing w:after="0"/>
              <w:rPr>
                <w:sz w:val="18"/>
                <w:szCs w:val="18"/>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33,195</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2"/>
        </w:trPr>
        <w:tc>
          <w:tcPr>
            <w:tcW w:w="5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product sales - as originally reported</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5,234</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6,633</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4,729</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8"/>
        </w:trPr>
        <w:tc>
          <w:tcPr>
            <w:tcW w:w="51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Cost of product sales - adjustment (1)</w:t>
            </w:r>
          </w:p>
        </w:tc>
        <w:tc>
          <w:tcPr>
            <w:tcW w:w="200" w:type="dxa"/>
            <w:vAlign w:val="bottom"/>
          </w:tcPr>
          <w:p>
            <w:pPr>
              <w:spacing w:after="0"/>
              <w:rPr>
                <w:sz w:val="18"/>
                <w:szCs w:val="18"/>
                <w:color w:val="auto"/>
              </w:rPr>
            </w:pP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79</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2"/>
        </w:trPr>
        <w:tc>
          <w:tcPr>
            <w:tcW w:w="5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product sales - as corrected (1)</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5,313</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6,218</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4,511</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8"/>
        </w:trPr>
        <w:tc>
          <w:tcPr>
            <w:tcW w:w="51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Sales, marketing and support - as originally reported</w:t>
            </w:r>
          </w:p>
        </w:tc>
        <w:tc>
          <w:tcPr>
            <w:tcW w:w="200" w:type="dxa"/>
            <w:vAlign w:val="bottom"/>
          </w:tcPr>
          <w:p>
            <w:pPr>
              <w:spacing w:after="0"/>
              <w:rPr>
                <w:sz w:val="18"/>
                <w:szCs w:val="18"/>
                <w:color w:val="auto"/>
              </w:rPr>
            </w:pP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5,712</w:t>
            </w:r>
          </w:p>
        </w:tc>
        <w:tc>
          <w:tcPr>
            <w:tcW w:w="220" w:type="dxa"/>
            <w:vAlign w:val="bottom"/>
          </w:tcPr>
          <w:p>
            <w:pPr>
              <w:spacing w:after="0"/>
              <w:rPr>
                <w:sz w:val="18"/>
                <w:szCs w:val="18"/>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5,142</w:t>
            </w:r>
          </w:p>
        </w:tc>
        <w:tc>
          <w:tcPr>
            <w:tcW w:w="260" w:type="dxa"/>
            <w:vAlign w:val="bottom"/>
          </w:tcPr>
          <w:p>
            <w:pPr>
              <w:spacing w:after="0"/>
              <w:rPr>
                <w:sz w:val="18"/>
                <w:szCs w:val="18"/>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4,854</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2"/>
        </w:trPr>
        <w:tc>
          <w:tcPr>
            <w:tcW w:w="5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marketing and support - adjustment (1)</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8"/>
        </w:trPr>
        <w:tc>
          <w:tcPr>
            <w:tcW w:w="51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Sales, marketing and support - as corrected (1)</w:t>
            </w:r>
          </w:p>
        </w:tc>
        <w:tc>
          <w:tcPr>
            <w:tcW w:w="200" w:type="dxa"/>
            <w:vAlign w:val="bottom"/>
          </w:tcPr>
          <w:p>
            <w:pPr>
              <w:spacing w:after="0"/>
              <w:rPr>
                <w:sz w:val="18"/>
                <w:szCs w:val="18"/>
                <w:color w:val="auto"/>
              </w:rPr>
            </w:pP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5,708</w:t>
            </w:r>
          </w:p>
        </w:tc>
        <w:tc>
          <w:tcPr>
            <w:tcW w:w="220" w:type="dxa"/>
            <w:vAlign w:val="bottom"/>
          </w:tcPr>
          <w:p>
            <w:pPr>
              <w:spacing w:after="0"/>
              <w:rPr>
                <w:sz w:val="18"/>
                <w:szCs w:val="18"/>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5,124</w:t>
            </w:r>
          </w:p>
        </w:tc>
        <w:tc>
          <w:tcPr>
            <w:tcW w:w="260" w:type="dxa"/>
            <w:vAlign w:val="bottom"/>
          </w:tcPr>
          <w:p>
            <w:pPr>
              <w:spacing w:after="0"/>
              <w:rPr>
                <w:sz w:val="18"/>
                <w:szCs w:val="18"/>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4,841</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2"/>
        </w:trPr>
        <w:tc>
          <w:tcPr>
            <w:tcW w:w="5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 from continuing operations - as originally reported</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925</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(4,246)</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8"/>
        </w:trPr>
        <w:tc>
          <w:tcPr>
            <w:tcW w:w="51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income (loss) from continuing operations - adjustment (1)</w:t>
            </w:r>
          </w:p>
        </w:tc>
        <w:tc>
          <w:tcPr>
            <w:tcW w:w="200" w:type="dxa"/>
            <w:vAlign w:val="bottom"/>
          </w:tcPr>
          <w:p>
            <w:pPr>
              <w:spacing w:after="0"/>
              <w:rPr>
                <w:sz w:val="18"/>
                <w:szCs w:val="18"/>
                <w:color w:val="auto"/>
              </w:rPr>
            </w:pP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379</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2"/>
        </w:trPr>
        <w:tc>
          <w:tcPr>
            <w:tcW w:w="5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from continuing operations - as corrected (1)</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367</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773</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(4,369)</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8"/>
        </w:trPr>
        <w:tc>
          <w:tcPr>
            <w:tcW w:w="51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(loss) income - as originally reported</w:t>
            </w:r>
          </w:p>
        </w:tc>
        <w:tc>
          <w:tcPr>
            <w:tcW w:w="20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tcPr>
          <w:p>
            <w:pPr>
              <w:spacing w:after="0"/>
              <w:rPr>
                <w:sz w:val="18"/>
                <w:szCs w:val="18"/>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925</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(4,246)</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2"/>
        </w:trPr>
        <w:tc>
          <w:tcPr>
            <w:tcW w:w="5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 adjustment (1)</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379</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8"/>
        </w:trPr>
        <w:tc>
          <w:tcPr>
            <w:tcW w:w="51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income (loss) - as corrected (1)</w:t>
            </w:r>
          </w:p>
        </w:tc>
        <w:tc>
          <w:tcPr>
            <w:tcW w:w="200" w:type="dxa"/>
            <w:vAlign w:val="bottom"/>
          </w:tcPr>
          <w:p>
            <w:pPr>
              <w:spacing w:after="0"/>
              <w:rPr>
                <w:sz w:val="18"/>
                <w:szCs w:val="18"/>
                <w:color w:val="auto"/>
              </w:rPr>
            </w:pP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367</w:t>
            </w:r>
          </w:p>
        </w:tc>
        <w:tc>
          <w:tcPr>
            <w:tcW w:w="220" w:type="dxa"/>
            <w:vAlign w:val="bottom"/>
          </w:tcPr>
          <w:p>
            <w:pPr>
              <w:spacing w:after="0"/>
              <w:rPr>
                <w:sz w:val="18"/>
                <w:szCs w:val="18"/>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773</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(4,369)</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2"/>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181"/>
        </w:trPr>
        <w:tc>
          <w:tcPr>
            <w:tcW w:w="20" w:type="dxa"/>
            <w:vAlign w:val="bottom"/>
          </w:tcPr>
          <w:p>
            <w:pPr>
              <w:spacing w:after="0"/>
              <w:rPr>
                <w:sz w:val="15"/>
                <w:szCs w:val="15"/>
                <w:color w:val="auto"/>
              </w:rPr>
            </w:pPr>
          </w:p>
        </w:tc>
        <w:tc>
          <w:tcPr>
            <w:tcW w:w="320" w:type="dxa"/>
            <w:vAlign w:val="bottom"/>
            <w:tcBorders>
              <w:bottom w:val="single" w:sz="8" w:color="auto"/>
            </w:tcBorders>
          </w:tcPr>
          <w:p>
            <w:pPr>
              <w:spacing w:after="0" w:line="171" w:lineRule="exact"/>
              <w:rPr>
                <w:sz w:val="20"/>
                <w:szCs w:val="20"/>
                <w:color w:val="auto"/>
              </w:rPr>
            </w:pPr>
            <w:r>
              <w:rPr>
                <w:rFonts w:ascii="Times New Roman" w:cs="Times New Roman" w:eastAsia="Times New Roman" w:hAnsi="Times New Roman"/>
                <w:sz w:val="16"/>
                <w:szCs w:val="16"/>
                <w:b w:val="1"/>
                <w:bCs w:val="1"/>
                <w:color w:val="auto"/>
                <w:w w:val="93"/>
              </w:rPr>
              <w:t>2022</w:t>
            </w:r>
          </w:p>
        </w:tc>
        <w:tc>
          <w:tcPr>
            <w:tcW w:w="4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20"/>
        </w:trPr>
        <w:tc>
          <w:tcPr>
            <w:tcW w:w="5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 - as originally reported</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33,151</w:t>
            </w:r>
          </w:p>
        </w:tc>
        <w:tc>
          <w:tcPr>
            <w:tcW w:w="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34,553</w:t>
            </w:r>
          </w:p>
        </w:tc>
        <w:tc>
          <w:tcPr>
            <w:tcW w:w="2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35,169</w:t>
            </w:r>
          </w:p>
        </w:tc>
        <w:tc>
          <w:tcPr>
            <w:tcW w:w="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36,005</w:t>
            </w:r>
          </w:p>
        </w:tc>
      </w:tr>
      <w:tr>
        <w:trPr>
          <w:trHeight w:val="208"/>
        </w:trPr>
        <w:tc>
          <w:tcPr>
            <w:tcW w:w="51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sales - adjustment (1)</w:t>
            </w:r>
          </w:p>
        </w:tc>
        <w:tc>
          <w:tcPr>
            <w:tcW w:w="200" w:type="dxa"/>
            <w:vAlign w:val="bottom"/>
          </w:tcPr>
          <w:p>
            <w:pPr>
              <w:spacing w:after="0"/>
              <w:rPr>
                <w:sz w:val="18"/>
                <w:szCs w:val="18"/>
                <w:color w:val="auto"/>
              </w:rPr>
            </w:pP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260" w:type="dxa"/>
            <w:vAlign w:val="bottom"/>
          </w:tcPr>
          <w:p>
            <w:pPr>
              <w:spacing w:after="0"/>
              <w:rPr>
                <w:sz w:val="18"/>
                <w:szCs w:val="18"/>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93</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2"/>
        </w:trPr>
        <w:tc>
          <w:tcPr>
            <w:tcW w:w="5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 - as corrected (1)</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33,160</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34,337</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35,262</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35,991</w:t>
            </w:r>
          </w:p>
        </w:tc>
      </w:tr>
      <w:tr>
        <w:trPr>
          <w:trHeight w:val="208"/>
        </w:trPr>
        <w:tc>
          <w:tcPr>
            <w:tcW w:w="51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Cost of product sales - as originally reported</w:t>
            </w:r>
          </w:p>
        </w:tc>
        <w:tc>
          <w:tcPr>
            <w:tcW w:w="200" w:type="dxa"/>
            <w:vAlign w:val="bottom"/>
          </w:tcPr>
          <w:p>
            <w:pPr>
              <w:spacing w:after="0"/>
              <w:rPr>
                <w:sz w:val="18"/>
                <w:szCs w:val="18"/>
                <w:color w:val="auto"/>
              </w:rPr>
            </w:pP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5,418</w:t>
            </w:r>
          </w:p>
        </w:tc>
        <w:tc>
          <w:tcPr>
            <w:tcW w:w="220" w:type="dxa"/>
            <w:vAlign w:val="bottom"/>
          </w:tcPr>
          <w:p>
            <w:pPr>
              <w:spacing w:after="0"/>
              <w:rPr>
                <w:sz w:val="18"/>
                <w:szCs w:val="18"/>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5,198</w:t>
            </w:r>
          </w:p>
        </w:tc>
        <w:tc>
          <w:tcPr>
            <w:tcW w:w="260" w:type="dxa"/>
            <w:vAlign w:val="bottom"/>
          </w:tcPr>
          <w:p>
            <w:pPr>
              <w:spacing w:after="0"/>
              <w:rPr>
                <w:sz w:val="18"/>
                <w:szCs w:val="18"/>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6,747</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7,821</w:t>
            </w:r>
          </w:p>
        </w:tc>
      </w:tr>
      <w:tr>
        <w:trPr>
          <w:trHeight w:val="212"/>
        </w:trPr>
        <w:tc>
          <w:tcPr>
            <w:tcW w:w="5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product sales - adjustment (1)</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58</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204</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08"/>
        </w:trPr>
        <w:tc>
          <w:tcPr>
            <w:tcW w:w="51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Cost of product sales - as corrected (1)</w:t>
            </w:r>
          </w:p>
        </w:tc>
        <w:tc>
          <w:tcPr>
            <w:tcW w:w="200" w:type="dxa"/>
            <w:vAlign w:val="bottom"/>
          </w:tcPr>
          <w:p>
            <w:pPr>
              <w:spacing w:after="0"/>
              <w:rPr>
                <w:sz w:val="18"/>
                <w:szCs w:val="18"/>
                <w:color w:val="auto"/>
              </w:rPr>
            </w:pP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5,476</w:t>
            </w:r>
          </w:p>
        </w:tc>
        <w:tc>
          <w:tcPr>
            <w:tcW w:w="220" w:type="dxa"/>
            <w:vAlign w:val="bottom"/>
          </w:tcPr>
          <w:p>
            <w:pPr>
              <w:spacing w:after="0"/>
              <w:rPr>
                <w:sz w:val="18"/>
                <w:szCs w:val="18"/>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5,074</w:t>
            </w:r>
          </w:p>
        </w:tc>
        <w:tc>
          <w:tcPr>
            <w:tcW w:w="260" w:type="dxa"/>
            <w:vAlign w:val="bottom"/>
          </w:tcPr>
          <w:p>
            <w:pPr>
              <w:spacing w:after="0"/>
              <w:rPr>
                <w:sz w:val="18"/>
                <w:szCs w:val="18"/>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6,951</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7,657</w:t>
            </w:r>
          </w:p>
        </w:tc>
      </w:tr>
      <w:tr>
        <w:trPr>
          <w:trHeight w:val="212"/>
        </w:trPr>
        <w:tc>
          <w:tcPr>
            <w:tcW w:w="5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marketing and support - as originally reported</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6,969</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5,676</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5,710</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4,874</w:t>
            </w:r>
          </w:p>
        </w:tc>
      </w:tr>
      <w:tr>
        <w:trPr>
          <w:trHeight w:val="208"/>
        </w:trPr>
        <w:tc>
          <w:tcPr>
            <w:tcW w:w="51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Sales, marketing and support - adjustment (1)</w:t>
            </w:r>
          </w:p>
        </w:tc>
        <w:tc>
          <w:tcPr>
            <w:tcW w:w="20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2"/>
        </w:trPr>
        <w:tc>
          <w:tcPr>
            <w:tcW w:w="5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marketing and support - as corrected (1)</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6,967</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5,668</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5,700</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4,863</w:t>
            </w:r>
          </w:p>
        </w:tc>
      </w:tr>
      <w:tr>
        <w:trPr>
          <w:trHeight w:val="208"/>
        </w:trPr>
        <w:tc>
          <w:tcPr>
            <w:tcW w:w="51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(loss) income from continuing operations - as originally reported</w:t>
            </w:r>
          </w:p>
        </w:tc>
        <w:tc>
          <w:tcPr>
            <w:tcW w:w="20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(4,267)</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w:t>
            </w:r>
          </w:p>
        </w:tc>
      </w:tr>
      <w:tr>
        <w:trPr>
          <w:trHeight w:val="212"/>
        </w:trPr>
        <w:tc>
          <w:tcPr>
            <w:tcW w:w="5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 from continuing operations - adjustment (1)</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208"/>
        </w:trPr>
        <w:tc>
          <w:tcPr>
            <w:tcW w:w="51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(loss) income from continuing operations - as corrected (1)</w:t>
            </w:r>
          </w:p>
        </w:tc>
        <w:tc>
          <w:tcPr>
            <w:tcW w:w="20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(4,314)</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w:t>
            </w:r>
          </w:p>
        </w:tc>
      </w:tr>
      <w:tr>
        <w:trPr>
          <w:trHeight w:val="212"/>
        </w:trPr>
        <w:tc>
          <w:tcPr>
            <w:tcW w:w="5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 - as originally reported</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(4,692)</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29,646</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w:t>
            </w:r>
          </w:p>
        </w:tc>
      </w:tr>
      <w:tr>
        <w:trPr>
          <w:trHeight w:val="208"/>
        </w:trPr>
        <w:tc>
          <w:tcPr>
            <w:tcW w:w="51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(loss) income - adjustment (1)</w:t>
            </w:r>
          </w:p>
        </w:tc>
        <w:tc>
          <w:tcPr>
            <w:tcW w:w="20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(47)</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212"/>
        </w:trPr>
        <w:tc>
          <w:tcPr>
            <w:tcW w:w="5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 - as corrected (1)</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(4,739)</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29,545</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w:t>
            </w:r>
          </w:p>
        </w:tc>
      </w:tr>
    </w:tbl>
    <w:p>
      <w:pPr>
        <w:spacing w:after="0" w:line="209" w:lineRule="exact"/>
        <w:rPr>
          <w:sz w:val="20"/>
          <w:szCs w:val="20"/>
          <w:color w:val="auto"/>
        </w:rPr>
      </w:pPr>
    </w:p>
    <w:p>
      <w:pPr>
        <w:ind w:left="20" w:right="160" w:firstLine="3"/>
        <w:spacing w:after="0" w:line="237" w:lineRule="auto"/>
        <w:tabs>
          <w:tab w:leader="none" w:pos="243"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adjusted certain prior period amounts for the correction of immaterial errors. See Note 1 — Summary of Significant Accounting Policies — Revision for Correction of Immaterial Errors.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121" w:right="339" w:bottom="1440" w:gutter="0" w:footer="0" w:header="0"/>
        </w:sectPr>
      </w:pPr>
    </w:p>
    <w:bookmarkStart w:id="80" w:name="page81"/>
    <w:bookmarkEnd w:id="80"/>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Exhibit 4.2</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DESCRIPTION OF CAPITAL STOCK</w:t>
      </w:r>
    </w:p>
    <w:p>
      <w:pPr>
        <w:spacing w:after="0" w:line="117" w:lineRule="exact"/>
        <w:rPr>
          <w:sz w:val="20"/>
          <w:szCs w:val="20"/>
          <w:color w:val="auto"/>
        </w:rPr>
      </w:pPr>
    </w:p>
    <w:p>
      <w:pPr>
        <w:ind w:right="40" w:firstLine="631"/>
        <w:spacing w:after="0" w:line="218" w:lineRule="auto"/>
        <w:rPr>
          <w:sz w:val="20"/>
          <w:szCs w:val="20"/>
          <w:color w:val="auto"/>
        </w:rPr>
      </w:pPr>
      <w:r>
        <w:rPr>
          <w:rFonts w:ascii="Times New Roman" w:cs="Times New Roman" w:eastAsia="Times New Roman" w:hAnsi="Times New Roman"/>
          <w:sz w:val="21"/>
          <w:szCs w:val="21"/>
          <w:color w:val="auto"/>
        </w:rPr>
        <w:t>The following description of the capital stock of KVH Industries, Inc. (the “Company,” “we,” “us,” and “our”) is qualified in its entirety by reference to our Amended and Restated Certificate of Incorporation (our “certificate of incorporation”), our Certificate of Designations of Series A Junior Participating Cumulative Preferred Stock (our “certificate of designation”) and our Amended and Restated Bylaws (our “by-laws”), copies of which are incorporated by reference as exhibits to our most recent Annual Report on Form 10-K filed with the Securities and Exchange Commission, and applicable provisions of the Delaware General Corporation Law. We encourage you to read our certificate of incorporation, certificate of designation, by-laws and the applicable provisions of the Delaware General Corporation Law for additional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Common Stock</w:t>
      </w:r>
    </w:p>
    <w:p>
      <w:pPr>
        <w:spacing w:after="0" w:line="1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We are authorized to issue 30,000,000 shares of common stock, par value $0.01 per share.</w:t>
      </w:r>
    </w:p>
    <w:p>
      <w:pPr>
        <w:spacing w:after="0" w:line="111" w:lineRule="exact"/>
        <w:rPr>
          <w:sz w:val="20"/>
          <w:szCs w:val="20"/>
          <w:color w:val="auto"/>
        </w:rPr>
      </w:pPr>
    </w:p>
    <w:p>
      <w:pPr>
        <w:ind w:right="160" w:firstLine="631"/>
        <w:spacing w:after="0" w:line="225" w:lineRule="auto"/>
        <w:rPr>
          <w:sz w:val="20"/>
          <w:szCs w:val="20"/>
          <w:color w:val="auto"/>
        </w:rPr>
      </w:pPr>
      <w:r>
        <w:rPr>
          <w:rFonts w:ascii="Times New Roman" w:cs="Times New Roman" w:eastAsia="Times New Roman" w:hAnsi="Times New Roman"/>
          <w:sz w:val="21"/>
          <w:szCs w:val="21"/>
          <w:i w:val="1"/>
          <w:iCs w:val="1"/>
          <w:color w:val="auto"/>
        </w:rPr>
        <w:t xml:space="preserve">Voting. </w:t>
      </w:r>
      <w:r>
        <w:rPr>
          <w:rFonts w:ascii="Times New Roman" w:cs="Times New Roman" w:eastAsia="Times New Roman" w:hAnsi="Times New Roman"/>
          <w:sz w:val="21"/>
          <w:szCs w:val="21"/>
          <w:color w:val="auto"/>
        </w:rPr>
        <w:t>Holders of our common stock are entitled to one vote per share held of record on all matters to be voted upon by our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stockholders. Our common stock does not have cumulative voting rights. As a result, subject to the voting rights of any outstanding shares of our preferred stock, persons who hold a majority of the outstanding common stock entitled to vote on the election of directors can elect all of the directors who are eligible for election in a particular year.</w:t>
      </w:r>
    </w:p>
    <w:p>
      <w:pPr>
        <w:spacing w:after="0" w:line="80" w:lineRule="exact"/>
        <w:rPr>
          <w:sz w:val="20"/>
          <w:szCs w:val="20"/>
          <w:color w:val="auto"/>
        </w:rPr>
      </w:pPr>
    </w:p>
    <w:p>
      <w:pPr>
        <w:jc w:val="both"/>
        <w:ind w:right="140" w:firstLine="631"/>
        <w:spacing w:after="0" w:line="222" w:lineRule="auto"/>
        <w:rPr>
          <w:sz w:val="20"/>
          <w:szCs w:val="20"/>
          <w:color w:val="auto"/>
        </w:rPr>
      </w:pPr>
      <w:r>
        <w:rPr>
          <w:rFonts w:ascii="Times New Roman" w:cs="Times New Roman" w:eastAsia="Times New Roman" w:hAnsi="Times New Roman"/>
          <w:sz w:val="21"/>
          <w:szCs w:val="21"/>
          <w:i w:val="1"/>
          <w:iCs w:val="1"/>
          <w:color w:val="auto"/>
        </w:rPr>
        <w:t xml:space="preserve">Dividends. </w:t>
      </w:r>
      <w:r>
        <w:rPr>
          <w:rFonts w:ascii="Times New Roman" w:cs="Times New Roman" w:eastAsia="Times New Roman" w:hAnsi="Times New Roman"/>
          <w:sz w:val="21"/>
          <w:szCs w:val="21"/>
          <w:color w:val="auto"/>
        </w:rPr>
        <w:t>Subject to preferences that may be applicable to the holders of any outstanding shares of our preferred stock,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holders of our common stock are entitled to receive such lawful dividends as may be declared by our board of directors out of funds legally available for this purpose. As a Delaware corporation, we are subject to statutory limitations on the declaration and payment of dividends. We have never declared or paid cash dividends on our capital stock, and we have no plan to pay any cash dividends in the foreseeable future.</w:t>
      </w:r>
    </w:p>
    <w:p>
      <w:pPr>
        <w:spacing w:after="0" w:line="66" w:lineRule="exact"/>
        <w:rPr>
          <w:sz w:val="20"/>
          <w:szCs w:val="20"/>
          <w:color w:val="auto"/>
        </w:rPr>
      </w:pPr>
    </w:p>
    <w:p>
      <w:pPr>
        <w:ind w:right="20" w:firstLine="631"/>
        <w:spacing w:after="0" w:line="231" w:lineRule="auto"/>
        <w:rPr>
          <w:sz w:val="20"/>
          <w:szCs w:val="20"/>
          <w:color w:val="auto"/>
        </w:rPr>
      </w:pPr>
      <w:r>
        <w:rPr>
          <w:rFonts w:ascii="Times New Roman" w:cs="Times New Roman" w:eastAsia="Times New Roman" w:hAnsi="Times New Roman"/>
          <w:sz w:val="21"/>
          <w:szCs w:val="21"/>
          <w:i w:val="1"/>
          <w:iCs w:val="1"/>
          <w:color w:val="auto"/>
        </w:rPr>
        <w:t xml:space="preserve">Liquidation and Dissolution. </w:t>
      </w:r>
      <w:r>
        <w:rPr>
          <w:rFonts w:ascii="Times New Roman" w:cs="Times New Roman" w:eastAsia="Times New Roman" w:hAnsi="Times New Roman"/>
          <w:sz w:val="21"/>
          <w:szCs w:val="21"/>
          <w:color w:val="auto"/>
        </w:rPr>
        <w:t>In the event of our liquidation, dissolution or winding up, and subject to the rights of the holders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 any outstanding shares of our preferred stock, the holders of shares of our common stock will be entitled to receive pro rata all of our remaining assets available for distribution to our stockholders.</w:t>
      </w:r>
    </w:p>
    <w:p>
      <w:pPr>
        <w:spacing w:after="0" w:line="78" w:lineRule="exact"/>
        <w:rPr>
          <w:sz w:val="20"/>
          <w:szCs w:val="20"/>
          <w:color w:val="auto"/>
        </w:rPr>
      </w:pPr>
    </w:p>
    <w:p>
      <w:pPr>
        <w:ind w:right="40" w:firstLine="631"/>
        <w:spacing w:after="0" w:line="244" w:lineRule="auto"/>
        <w:rPr>
          <w:sz w:val="20"/>
          <w:szCs w:val="20"/>
          <w:color w:val="auto"/>
        </w:rPr>
      </w:pPr>
      <w:r>
        <w:rPr>
          <w:rFonts w:ascii="Times New Roman" w:cs="Times New Roman" w:eastAsia="Times New Roman" w:hAnsi="Times New Roman"/>
          <w:sz w:val="21"/>
          <w:szCs w:val="21"/>
          <w:i w:val="1"/>
          <w:iCs w:val="1"/>
          <w:color w:val="auto"/>
        </w:rPr>
        <w:t>Other Rights and Restrictions</w:t>
      </w:r>
      <w:r>
        <w:rPr>
          <w:rFonts w:ascii="Times New Roman" w:cs="Times New Roman" w:eastAsia="Times New Roman" w:hAnsi="Times New Roman"/>
          <w:sz w:val="21"/>
          <w:szCs w:val="21"/>
          <w:color w:val="auto"/>
        </w:rPr>
        <w:t>. Holders of our common stock do not have preemptive, subscription, redemption or conversion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rights. All outstanding shares are fully paid and nonassessable.</w:t>
      </w:r>
    </w:p>
    <w:p>
      <w:pPr>
        <w:spacing w:after="0" w:line="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i w:val="1"/>
          <w:iCs w:val="1"/>
          <w:color w:val="auto"/>
        </w:rPr>
        <w:t xml:space="preserve">Listing. </w:t>
      </w:r>
      <w:r>
        <w:rPr>
          <w:rFonts w:ascii="Times New Roman" w:cs="Times New Roman" w:eastAsia="Times New Roman" w:hAnsi="Times New Roman"/>
          <w:sz w:val="21"/>
          <w:szCs w:val="21"/>
          <w:color w:val="auto"/>
        </w:rPr>
        <w:t>Our common stock is quoted on the Nasdaq Global Select Market under the trading symbol “KVHI.”</w:t>
      </w:r>
    </w:p>
    <w:p>
      <w:pPr>
        <w:spacing w:after="0" w:line="102" w:lineRule="exact"/>
        <w:rPr>
          <w:sz w:val="20"/>
          <w:szCs w:val="20"/>
          <w:color w:val="auto"/>
        </w:rPr>
      </w:pPr>
    </w:p>
    <w:p>
      <w:pPr>
        <w:ind w:right="280" w:firstLine="631"/>
        <w:spacing w:after="0" w:line="242" w:lineRule="auto"/>
        <w:rPr>
          <w:sz w:val="20"/>
          <w:szCs w:val="20"/>
          <w:color w:val="auto"/>
        </w:rPr>
      </w:pPr>
      <w:r>
        <w:rPr>
          <w:rFonts w:ascii="Times New Roman" w:cs="Times New Roman" w:eastAsia="Times New Roman" w:hAnsi="Times New Roman"/>
          <w:sz w:val="21"/>
          <w:szCs w:val="21"/>
          <w:color w:val="auto"/>
        </w:rPr>
        <w:t>The rights of the holders of our common stock are subject to, and may be adversely affected by, the rights of the holders of shares of any series of preferred stock that we may issue in the future.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Preferred Stock</w:t>
      </w:r>
    </w:p>
    <w:p>
      <w:pPr>
        <w:spacing w:after="0" w:line="104" w:lineRule="exact"/>
        <w:rPr>
          <w:sz w:val="20"/>
          <w:szCs w:val="20"/>
          <w:color w:val="auto"/>
        </w:rPr>
      </w:pPr>
    </w:p>
    <w:p>
      <w:pPr>
        <w:ind w:right="60" w:firstLine="631"/>
        <w:spacing w:after="0" w:line="225" w:lineRule="auto"/>
        <w:rPr>
          <w:sz w:val="20"/>
          <w:szCs w:val="20"/>
          <w:color w:val="auto"/>
        </w:rPr>
      </w:pPr>
      <w:r>
        <w:rPr>
          <w:rFonts w:ascii="Times New Roman" w:cs="Times New Roman" w:eastAsia="Times New Roman" w:hAnsi="Times New Roman"/>
          <w:sz w:val="21"/>
          <w:szCs w:val="21"/>
          <w:color w:val="auto"/>
        </w:rPr>
        <w:t>Our certificate of incorporation allows us to issue, without stockholder approval, preferred stock having rights senior to those of our common stock. Our board of directors is authorized to issue up to 1,000,000 shares of preferred stock, par value $0.01 per share, in one or more series and to fix and designate the powers, designations, preferences and relative, participating, optional or other special rights of each class of preferred stock or series thereof and</w:t>
      </w:r>
    </w:p>
    <w:p>
      <w:pPr>
        <w:sectPr>
          <w:pgSz w:w="11900" w:h="16838" w:orient="portrait"/>
          <w:cols w:equalWidth="0" w:num="1">
            <w:col w:w="11240"/>
          </w:cols>
          <w:pgMar w:left="320" w:top="1440" w:right="339" w:bottom="1440" w:gutter="0" w:footer="0" w:header="0"/>
        </w:sectPr>
      </w:pPr>
    </w:p>
    <w:bookmarkStart w:id="81" w:name="page82"/>
    <w:bookmarkEnd w:id="81"/>
    <w:p>
      <w:pPr>
        <w:spacing w:after="0" w:line="66" w:lineRule="exact"/>
        <w:rPr>
          <w:sz w:val="20"/>
          <w:szCs w:val="20"/>
          <w:color w:val="auto"/>
        </w:rPr>
      </w:pPr>
    </w:p>
    <w:p>
      <w:pPr>
        <w:jc w:val="both"/>
        <w:ind w:right="360"/>
        <w:spacing w:after="0" w:line="230" w:lineRule="auto"/>
        <w:rPr>
          <w:sz w:val="20"/>
          <w:szCs w:val="20"/>
          <w:color w:val="auto"/>
        </w:rPr>
      </w:pPr>
      <w:r>
        <w:rPr>
          <w:rFonts w:ascii="Times New Roman" w:cs="Times New Roman" w:eastAsia="Times New Roman" w:hAnsi="Times New Roman"/>
          <w:sz w:val="21"/>
          <w:szCs w:val="21"/>
          <w:color w:val="auto"/>
        </w:rPr>
        <w:t>the qualifications, limitations or restrictions, if any, of such preferred stock. Our board of directors may fix the number of shares constituting any series of preferred stock and the designations of the series. Our board of directors has designated 3,000 shares of preferred stock as Series A Junior Participating Cumulative Preferred Stock (“Series A Preferred Stock”).</w:t>
      </w:r>
    </w:p>
    <w:p>
      <w:pPr>
        <w:spacing w:after="0" w:line="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i w:val="1"/>
          <w:iCs w:val="1"/>
          <w:color w:val="auto"/>
        </w:rPr>
        <w:t>Series A Preferred Stock</w:t>
      </w:r>
      <w:r>
        <w:rPr>
          <w:rFonts w:ascii="Times New Roman" w:cs="Times New Roman" w:eastAsia="Times New Roman" w:hAnsi="Times New Roman"/>
          <w:sz w:val="21"/>
          <w:szCs w:val="21"/>
          <w:color w:val="auto"/>
        </w:rPr>
        <w:t>.</w:t>
      </w:r>
    </w:p>
    <w:p>
      <w:pPr>
        <w:spacing w:after="0" w:line="115" w:lineRule="exact"/>
        <w:rPr>
          <w:sz w:val="20"/>
          <w:szCs w:val="20"/>
          <w:color w:val="auto"/>
        </w:rPr>
      </w:pPr>
    </w:p>
    <w:p>
      <w:pPr>
        <w:ind w:right="80" w:firstLine="631"/>
        <w:spacing w:after="0" w:line="221" w:lineRule="auto"/>
        <w:rPr>
          <w:sz w:val="20"/>
          <w:szCs w:val="20"/>
          <w:color w:val="auto"/>
        </w:rPr>
      </w:pPr>
      <w:r>
        <w:rPr>
          <w:rFonts w:ascii="Times New Roman" w:cs="Times New Roman" w:eastAsia="Times New Roman" w:hAnsi="Times New Roman"/>
          <w:sz w:val="21"/>
          <w:szCs w:val="21"/>
          <w:color w:val="auto"/>
        </w:rPr>
        <w:t>The holders of any shares of Series A Preferred Stock, if issued, will be entitled, among other things, to receive certain minimum quarterly dividends, to vote together with our common stock and other shares of capital stock having general voting rights as one class, to elect certain directors upon the occurrence of specified dividend arrearages, and to receive certain preferential payments in the event of our liquidation, dissolution or winding up. If any dividends payable on shares of Series A Preferred Stock are in arrears, we will be subject to specified limitations on dividends, distributions and redemptions of specified securities.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Restrictions on Sales of Certain Securities</w:t>
      </w:r>
    </w:p>
    <w:p>
      <w:pPr>
        <w:spacing w:after="0" w:line="117" w:lineRule="exact"/>
        <w:rPr>
          <w:sz w:val="20"/>
          <w:szCs w:val="20"/>
          <w:color w:val="auto"/>
        </w:rPr>
      </w:pPr>
    </w:p>
    <w:p>
      <w:pPr>
        <w:ind w:firstLine="631"/>
        <w:spacing w:after="0" w:line="242" w:lineRule="auto"/>
        <w:rPr>
          <w:sz w:val="20"/>
          <w:szCs w:val="20"/>
          <w:color w:val="auto"/>
        </w:rPr>
      </w:pPr>
      <w:r>
        <w:rPr>
          <w:rFonts w:ascii="Times New Roman" w:cs="Times New Roman" w:eastAsia="Times New Roman" w:hAnsi="Times New Roman"/>
          <w:sz w:val="21"/>
          <w:szCs w:val="21"/>
          <w:color w:val="auto"/>
        </w:rPr>
        <w:t>Our by-laws provide that, unless approved by the affirmative vote of the holders of a majority of our capital stock present and entitled to vote at a meeting of stockholders, we may not:</w:t>
      </w:r>
    </w:p>
    <w:p>
      <w:pPr>
        <w:spacing w:after="0" w:line="78" w:lineRule="exact"/>
        <w:rPr>
          <w:sz w:val="20"/>
          <w:szCs w:val="20"/>
          <w:color w:val="auto"/>
        </w:rPr>
      </w:pPr>
    </w:p>
    <w:p>
      <w:pPr>
        <w:ind w:left="640" w:right="380" w:hanging="319"/>
        <w:spacing w:after="0" w:line="216" w:lineRule="auto"/>
        <w:tabs>
          <w:tab w:leader="none" w:pos="635"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 or issue any security convertible into or exercisable or exchangeable for shares of common stock, for a conversion, exercise or exchange price per share which is subject to adjustment based on the market price of the common stock at the time of conversion, exercise or exchange of such security into common stock; or</w:t>
      </w:r>
    </w:p>
    <w:p>
      <w:pPr>
        <w:spacing w:after="0" w:line="2" w:lineRule="exact"/>
        <w:rPr>
          <w:rFonts w:ascii="Times New Roman" w:cs="Times New Roman" w:eastAsia="Times New Roman" w:hAnsi="Times New Roman"/>
          <w:sz w:val="21"/>
          <w:szCs w:val="21"/>
          <w:color w:val="auto"/>
        </w:rPr>
      </w:pPr>
    </w:p>
    <w:p>
      <w:pPr>
        <w:ind w:left="640" w:right="20" w:hanging="319"/>
        <w:spacing w:after="0" w:line="229" w:lineRule="auto"/>
        <w:tabs>
          <w:tab w:leader="none" w:pos="635"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enter into any equity line or similar agreement or arrangement, or any agreement to sell common stock at a price which is fixed after the date of the agreement, whether or not based on any predetermined price-setting formula or calculation method.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Anti-Takeover Effect of Unissued Shares of Capital Stock</w:t>
      </w:r>
    </w:p>
    <w:p>
      <w:pPr>
        <w:spacing w:after="0" w:line="115" w:lineRule="exact"/>
        <w:rPr>
          <w:sz w:val="20"/>
          <w:szCs w:val="20"/>
          <w:color w:val="auto"/>
        </w:rPr>
      </w:pPr>
    </w:p>
    <w:p>
      <w:pPr>
        <w:ind w:right="360" w:firstLine="631"/>
        <w:spacing w:after="0" w:line="220" w:lineRule="auto"/>
        <w:rPr>
          <w:sz w:val="20"/>
          <w:szCs w:val="20"/>
          <w:color w:val="auto"/>
        </w:rPr>
      </w:pPr>
      <w:r>
        <w:rPr>
          <w:rFonts w:ascii="Times New Roman" w:cs="Times New Roman" w:eastAsia="Times New Roman" w:hAnsi="Times New Roman"/>
          <w:sz w:val="21"/>
          <w:szCs w:val="21"/>
          <w:i w:val="1"/>
          <w:iCs w:val="1"/>
          <w:color w:val="auto"/>
        </w:rPr>
        <w:t>Common Stock</w:t>
      </w:r>
      <w:r>
        <w:rPr>
          <w:rFonts w:ascii="Times New Roman" w:cs="Times New Roman" w:eastAsia="Times New Roman" w:hAnsi="Times New Roman"/>
          <w:sz w:val="21"/>
          <w:szCs w:val="21"/>
          <w:color w:val="auto"/>
        </w:rPr>
        <w:t>. Except as described under the heading “Description of Capital Stock –Restrictions on Sales of Certain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Securities,” our shares of authorized and unissued common stock are available for future issuance without additional stockholder approval. While these additional shares are not designed to deter or prevent a change of control and may be used for a variety of corporate purposes, under some circumstances we could use the additional shares to create voting impediments or to frustrate persons seeking to effect a takeover or otherwise gain control by, for example, issuing those shares in private placements to purchasers who might side with our board of directors in opposing a hostile takeover bid.</w:t>
      </w:r>
    </w:p>
    <w:p>
      <w:pPr>
        <w:spacing w:after="0" w:line="65" w:lineRule="exact"/>
        <w:rPr>
          <w:sz w:val="20"/>
          <w:szCs w:val="20"/>
          <w:color w:val="auto"/>
        </w:rPr>
      </w:pPr>
    </w:p>
    <w:p>
      <w:pPr>
        <w:ind w:right="80" w:firstLine="631"/>
        <w:spacing w:after="0" w:line="215" w:lineRule="auto"/>
        <w:rPr>
          <w:sz w:val="20"/>
          <w:szCs w:val="20"/>
          <w:color w:val="auto"/>
        </w:rPr>
      </w:pPr>
      <w:r>
        <w:rPr>
          <w:rFonts w:ascii="Times New Roman" w:cs="Times New Roman" w:eastAsia="Times New Roman" w:hAnsi="Times New Roman"/>
          <w:sz w:val="21"/>
          <w:szCs w:val="21"/>
          <w:i w:val="1"/>
          <w:iCs w:val="1"/>
          <w:color w:val="auto"/>
        </w:rPr>
        <w:t>Preferred Stock</w:t>
      </w:r>
      <w:r>
        <w:rPr>
          <w:rFonts w:ascii="Times New Roman" w:cs="Times New Roman" w:eastAsia="Times New Roman" w:hAnsi="Times New Roman"/>
          <w:sz w:val="21"/>
          <w:szCs w:val="21"/>
          <w:color w:val="auto"/>
        </w:rPr>
        <w:t>. Except as described under the heading “Description of Capital Stock –Restrictions on Sales of Certain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Securities,” our certificate of incorporation grants our board of directors the authority, without additional stockholder approval, to issue preferred stock in one or more series and to fix the number of shares constituting any such series and the powers, designations, preferences and relative, participating, optional or other special rights of each class of preferred stock or series thereof and the qualifications, limitations or restrictions, if any, of the shares constituting any series of preferred stock. The existence of authorized but unissued preferred stock could reduce our attractiveness as a target for an unsolicited takeover bid since we could, for example, issue shares of preferred stock to parties who might oppose such a takeover bid or shares that contain terms the potential acquirer may find unattractive. This may have the effect of delaying or preventing a change in control, may discourage bids for any of our securities at a premium over the market price of such securities, and may adversely affect the market price of, and the voting and other rights of the holders of, such securities.</w:t>
      </w:r>
    </w:p>
    <w:p>
      <w:pPr>
        <w:sectPr>
          <w:pgSz w:w="11900" w:h="16838" w:orient="portrait"/>
          <w:cols w:equalWidth="0" w:num="1">
            <w:col w:w="11220"/>
          </w:cols>
          <w:pgMar w:left="320" w:top="1440" w:right="359" w:bottom="1440" w:gutter="0" w:footer="0" w:header="0"/>
        </w:sectPr>
      </w:pPr>
    </w:p>
    <w:bookmarkStart w:id="82" w:name="page83"/>
    <w:bookmarkEnd w:id="82"/>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Certain Anti-Takeover Provisions of Delaware Law, our Certificate of Incorporation and our By-laws</w:t>
      </w:r>
    </w:p>
    <w:p>
      <w:pPr>
        <w:spacing w:after="0" w:line="117" w:lineRule="exact"/>
        <w:rPr>
          <w:sz w:val="20"/>
          <w:szCs w:val="20"/>
          <w:color w:val="auto"/>
        </w:rPr>
      </w:pPr>
    </w:p>
    <w:p>
      <w:pPr>
        <w:ind w:right="40" w:firstLine="631"/>
        <w:spacing w:after="0" w:line="216" w:lineRule="auto"/>
        <w:rPr>
          <w:sz w:val="20"/>
          <w:szCs w:val="20"/>
          <w:color w:val="auto"/>
        </w:rPr>
      </w:pPr>
      <w:r>
        <w:rPr>
          <w:rFonts w:ascii="Times New Roman" w:cs="Times New Roman" w:eastAsia="Times New Roman" w:hAnsi="Times New Roman"/>
          <w:sz w:val="21"/>
          <w:szCs w:val="21"/>
          <w:color w:val="auto"/>
        </w:rPr>
        <w:t>Certain provisions of Delaware law, our certificate of incorporation and our by-laws could make it more difficult to acquire us by means of a tender offer, a proxy contest or otherwise and to remove our incumbent directors and officers. These provisions, which are summarized below, are expected to discourage certain types of coercive takeover practices and inadequate takeover bids and to encourage persons seeking to acquire control of us to first negotiate with us. We believe that the benefits of increased protection of our potential ability to negotiate with the proponent of an unfriendly or unsolicited proposal to acquire or restructure us outweigh the disadvantages of discouraging takeover or acquisition proposals because, among other things, negotiation of these proposals could result in an improvement of their terms. These measures may, however, deter hostile takeovers or delay changes in control of the Company, which could depress the market price of our securities and which could deprive stockholders of opportunities to realize a premium on securities held by them.</w:t>
      </w:r>
    </w:p>
    <w:p>
      <w:pPr>
        <w:spacing w:after="0" w:line="79" w:lineRule="exact"/>
        <w:rPr>
          <w:sz w:val="20"/>
          <w:szCs w:val="20"/>
          <w:color w:val="auto"/>
        </w:rPr>
      </w:pPr>
    </w:p>
    <w:p>
      <w:pPr>
        <w:ind w:firstLine="631"/>
        <w:spacing w:after="0" w:line="225" w:lineRule="auto"/>
        <w:rPr>
          <w:sz w:val="20"/>
          <w:szCs w:val="20"/>
          <w:color w:val="auto"/>
        </w:rPr>
      </w:pPr>
      <w:r>
        <w:rPr>
          <w:rFonts w:ascii="Times New Roman" w:cs="Times New Roman" w:eastAsia="Times New Roman" w:hAnsi="Times New Roman"/>
          <w:sz w:val="21"/>
          <w:szCs w:val="21"/>
          <w:i w:val="1"/>
          <w:iCs w:val="1"/>
          <w:color w:val="auto"/>
        </w:rPr>
        <w:t xml:space="preserve">Section 203 of the Delaware General Corporation Law. </w:t>
      </w:r>
      <w:r>
        <w:rPr>
          <w:rFonts w:ascii="Times New Roman" w:cs="Times New Roman" w:eastAsia="Times New Roman" w:hAnsi="Times New Roman"/>
          <w:sz w:val="21"/>
          <w:szCs w:val="21"/>
          <w:color w:val="auto"/>
        </w:rPr>
        <w:t>We are subject to Section 203 of the Delaware General Corporation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Law, or Section 203, which is applicable to certain takeovers of Delaware corporations. This law prohibits a publicly held Delaware corporation from engaging in any business combination with any interested stockholder for a period of three years following the time that the stockholder became an interested stockholder unless:</w:t>
      </w:r>
    </w:p>
    <w:p>
      <w:pPr>
        <w:spacing w:after="0" w:line="69" w:lineRule="exact"/>
        <w:rPr>
          <w:sz w:val="20"/>
          <w:szCs w:val="20"/>
          <w:color w:val="auto"/>
        </w:rPr>
      </w:pPr>
    </w:p>
    <w:p>
      <w:pPr>
        <w:ind w:left="640" w:right="160" w:hanging="319"/>
        <w:spacing w:after="0" w:line="220" w:lineRule="auto"/>
        <w:tabs>
          <w:tab w:leader="none" w:pos="635"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the transaction, the board of directors of the corporation approved either the business combination or the transaction which resulted in the stockholder becoming an interested stockholder;</w:t>
      </w:r>
    </w:p>
    <w:p>
      <w:pPr>
        <w:spacing w:after="0" w:line="1" w:lineRule="exact"/>
        <w:rPr>
          <w:rFonts w:ascii="Times New Roman" w:cs="Times New Roman" w:eastAsia="Times New Roman" w:hAnsi="Times New Roman"/>
          <w:sz w:val="21"/>
          <w:szCs w:val="21"/>
          <w:color w:val="auto"/>
        </w:rPr>
      </w:pPr>
    </w:p>
    <w:p>
      <w:pPr>
        <w:ind w:left="640" w:right="100" w:hanging="319"/>
        <w:spacing w:after="0" w:line="209" w:lineRule="auto"/>
        <w:tabs>
          <w:tab w:leader="none" w:pos="635"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jc w:val="both"/>
        <w:ind w:left="640" w:right="200" w:hanging="319"/>
        <w:spacing w:after="0" w:line="222" w:lineRule="auto"/>
        <w:tabs>
          <w:tab w:leader="none" w:pos="635"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or subsequent to such time the business combination is approved by the board of directors and authorized at an annual or special meeting of stockholders, and not by written consent, by the affirmative vote of at least two-thirds of the outstanding voting stock which is not owned by the interested stockholder.</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203 defines “business combination” to include:</w:t>
      </w:r>
    </w:p>
    <w:p>
      <w:pPr>
        <w:spacing w:after="0" w:line="113" w:lineRule="exact"/>
        <w:rPr>
          <w:sz w:val="20"/>
          <w:szCs w:val="20"/>
          <w:color w:val="auto"/>
        </w:rPr>
      </w:pPr>
    </w:p>
    <w:p>
      <w:pPr>
        <w:ind w:left="640" w:right="820" w:hanging="319"/>
        <w:spacing w:after="0" w:line="220" w:lineRule="auto"/>
        <w:tabs>
          <w:tab w:leader="none" w:pos="635"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generally, any merger or consolidation between the corporation or its majority-owned subsidiaries and the interested stockholder;</w:t>
      </w:r>
    </w:p>
    <w:p>
      <w:pPr>
        <w:spacing w:after="0" w:line="1" w:lineRule="exact"/>
        <w:rPr>
          <w:rFonts w:ascii="Times New Roman" w:cs="Times New Roman" w:eastAsia="Times New Roman" w:hAnsi="Times New Roman"/>
          <w:sz w:val="21"/>
          <w:szCs w:val="21"/>
          <w:color w:val="auto"/>
        </w:rPr>
      </w:pPr>
    </w:p>
    <w:p>
      <w:pPr>
        <w:ind w:left="640" w:right="20" w:hanging="319"/>
        <w:spacing w:after="0" w:line="209" w:lineRule="auto"/>
        <w:tabs>
          <w:tab w:leader="none" w:pos="635"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sale, lease, exchange, mortgage, pledge, transfer or disposition to or with the interested stockholder of assets having an aggregate market value equal to 10% or more of the aggregate market value of the consolidated assets or outstanding stock of the corporation;</w:t>
      </w:r>
    </w:p>
    <w:p>
      <w:pPr>
        <w:ind w:left="640" w:right="440" w:hanging="319"/>
        <w:spacing w:after="0" w:line="209" w:lineRule="auto"/>
        <w:tabs>
          <w:tab w:leader="none" w:pos="635"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general, any transaction that results in the issuance or transfer of stock of the corporation or any of its majority-owned subsidiaries to the interested stockholder;</w:t>
      </w:r>
    </w:p>
    <w:p>
      <w:pPr>
        <w:ind w:left="640" w:right="620" w:hanging="319"/>
        <w:spacing w:after="0" w:line="209" w:lineRule="auto"/>
        <w:tabs>
          <w:tab w:leader="none" w:pos="635"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transaction involving the corporation or one of its majority-owned subsidiaries that has the effect of increasing the proportionate share of capital stock or convertible securities owned by the interested stockholder; or</w:t>
      </w:r>
    </w:p>
    <w:p>
      <w:pPr>
        <w:ind w:left="640" w:right="80" w:hanging="319"/>
        <w:spacing w:after="0" w:line="229" w:lineRule="auto"/>
        <w:tabs>
          <w:tab w:leader="none" w:pos="635"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receipt by the interested stockholder of the benefit of any loans, advances, guarantees, pledges or other financial benefits provided by or through the corporation or its majority-owned subsidiaries.</w:t>
      </w:r>
    </w:p>
    <w:p>
      <w:pPr>
        <w:sectPr>
          <w:pgSz w:w="11900" w:h="16838" w:orient="portrait"/>
          <w:cols w:equalWidth="0" w:num="1">
            <w:col w:w="11220"/>
          </w:cols>
          <w:pgMar w:left="320" w:top="1440" w:right="359" w:bottom="1440" w:gutter="0" w:footer="0" w:header="0"/>
        </w:sectPr>
      </w:pPr>
    </w:p>
    <w:bookmarkStart w:id="83" w:name="page84"/>
    <w:bookmarkEnd w:id="83"/>
    <w:p>
      <w:pPr>
        <w:spacing w:after="0" w:line="66" w:lineRule="exact"/>
        <w:rPr>
          <w:sz w:val="20"/>
          <w:szCs w:val="20"/>
          <w:color w:val="auto"/>
        </w:rPr>
      </w:pPr>
    </w:p>
    <w:p>
      <w:pPr>
        <w:ind w:right="100" w:firstLine="631"/>
        <w:spacing w:after="0" w:line="225" w:lineRule="auto"/>
        <w:rPr>
          <w:sz w:val="20"/>
          <w:szCs w:val="20"/>
          <w:color w:val="auto"/>
        </w:rPr>
      </w:pPr>
      <w:r>
        <w:rPr>
          <w:rFonts w:ascii="Times New Roman" w:cs="Times New Roman" w:eastAsia="Times New Roman" w:hAnsi="Times New Roman"/>
          <w:sz w:val="21"/>
          <w:szCs w:val="21"/>
          <w:color w:val="auto"/>
        </w:rPr>
        <w:t>In general, Section 203 defines an “interested stockholder” as any person or entity that is the owner of 15% or more of the outstanding voting stock of a corporation or is an affiliate or associate of the corporation and was the owner of 15% or more of the outstanding voting stock of the corporation at any time within the 3-year period immediately prior to the relevant date, together with the affiliates and associates of such person or entity.</w:t>
      </w:r>
    </w:p>
    <w:p>
      <w:pPr>
        <w:spacing w:after="0" w:line="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i w:val="1"/>
          <w:iCs w:val="1"/>
          <w:color w:val="auto"/>
        </w:rPr>
        <w:t>Staggered Board; Removal of Directors</w:t>
      </w:r>
      <w:r>
        <w:rPr>
          <w:rFonts w:ascii="Times New Roman" w:cs="Times New Roman" w:eastAsia="Times New Roman" w:hAnsi="Times New Roman"/>
          <w:sz w:val="21"/>
          <w:szCs w:val="21"/>
          <w:color w:val="auto"/>
        </w:rPr>
        <w:t>. Our certificate of incorporation and by-laws provide:</w:t>
      </w:r>
    </w:p>
    <w:p>
      <w:pPr>
        <w:spacing w:after="0" w:line="108" w:lineRule="exact"/>
        <w:rPr>
          <w:sz w:val="20"/>
          <w:szCs w:val="20"/>
          <w:color w:val="auto"/>
        </w:rPr>
      </w:pPr>
    </w:p>
    <w:p>
      <w:pPr>
        <w:ind w:left="640" w:hanging="319"/>
        <w:spacing w:after="0"/>
        <w:tabs>
          <w:tab w:leader="none" w:pos="64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division of the board of directors into three classes as nearly equal in size as possible with staggered three-year terms;</w:t>
      </w:r>
    </w:p>
    <w:p>
      <w:pPr>
        <w:ind w:left="640" w:hanging="319"/>
        <w:spacing w:after="0" w:line="209" w:lineRule="auto"/>
        <w:tabs>
          <w:tab w:leader="none" w:pos="635"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directors may be removed only for cause by the affirmative vote of the holders of two-thirds of our shares of capital stock entitled to vote; and</w:t>
      </w:r>
    </w:p>
    <w:p>
      <w:pPr>
        <w:ind w:left="640" w:right="480" w:hanging="319"/>
        <w:spacing w:after="0" w:line="229" w:lineRule="auto"/>
        <w:tabs>
          <w:tab w:leader="none" w:pos="635"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any vacancy on the board of directors, however occurring, including a vacancy resulting from an enlargement of the board, may be filled only by the vote of a majority of the directors then in office.</w:t>
      </w:r>
    </w:p>
    <w:p>
      <w:pPr>
        <w:spacing w:after="0" w:line="80" w:lineRule="exact"/>
        <w:rPr>
          <w:sz w:val="20"/>
          <w:szCs w:val="20"/>
          <w:color w:val="auto"/>
        </w:rPr>
      </w:pPr>
    </w:p>
    <w:p>
      <w:pPr>
        <w:ind w:right="80" w:firstLine="631"/>
        <w:spacing w:after="0" w:line="225" w:lineRule="auto"/>
        <w:rPr>
          <w:sz w:val="20"/>
          <w:szCs w:val="20"/>
          <w:color w:val="auto"/>
        </w:rPr>
      </w:pPr>
      <w:r>
        <w:rPr>
          <w:rFonts w:ascii="Times New Roman" w:cs="Times New Roman" w:eastAsia="Times New Roman" w:hAnsi="Times New Roman"/>
          <w:sz w:val="21"/>
          <w:szCs w:val="21"/>
          <w:color w:val="auto"/>
        </w:rPr>
        <w:t>The limitations on the removal of directors and the filling of vacancies could have the effect of making it more difficult for a third party to acquire, or of discouraging a third party from acquiring, control of us. Our certificate of incorporation and by-laws require the affirmative vote of the holders of at least 75% of our shares of capital stock issued and outstanding and entitled to vote to amend or repeal any of these provisions.</w:t>
      </w:r>
    </w:p>
    <w:p>
      <w:pPr>
        <w:spacing w:after="0" w:line="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i w:val="1"/>
          <w:iCs w:val="1"/>
          <w:color w:val="auto"/>
        </w:rPr>
        <w:t xml:space="preserve">Stockholder Action; Special Meeting of Stockholders. </w:t>
      </w:r>
      <w:r>
        <w:rPr>
          <w:rFonts w:ascii="Times New Roman" w:cs="Times New Roman" w:eastAsia="Times New Roman" w:hAnsi="Times New Roman"/>
          <w:sz w:val="21"/>
          <w:szCs w:val="21"/>
          <w:color w:val="auto"/>
        </w:rPr>
        <w:t>Our certificate of incorporation and by-laws provide that:</w:t>
      </w:r>
    </w:p>
    <w:p>
      <w:pPr>
        <w:spacing w:after="0" w:line="115" w:lineRule="exact"/>
        <w:rPr>
          <w:sz w:val="20"/>
          <w:szCs w:val="20"/>
          <w:color w:val="auto"/>
        </w:rPr>
      </w:pPr>
    </w:p>
    <w:p>
      <w:pPr>
        <w:ind w:left="640" w:right="60" w:hanging="319"/>
        <w:spacing w:after="0" w:line="220" w:lineRule="auto"/>
        <w:tabs>
          <w:tab w:leader="none" w:pos="635"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action required or permitted to be taken by our stockholders at an annual meeting or special meeting of stockholders may only be taken if it is properly brought before the meeting;</w:t>
      </w:r>
    </w:p>
    <w:p>
      <w:pPr>
        <w:spacing w:after="0" w:line="1" w:lineRule="exact"/>
        <w:rPr>
          <w:rFonts w:ascii="Times New Roman" w:cs="Times New Roman" w:eastAsia="Times New Roman" w:hAnsi="Times New Roman"/>
          <w:sz w:val="21"/>
          <w:szCs w:val="21"/>
          <w:color w:val="auto"/>
        </w:rPr>
      </w:pPr>
    </w:p>
    <w:p>
      <w:pPr>
        <w:ind w:left="640" w:hanging="319"/>
        <w:spacing w:after="0" w:line="209" w:lineRule="auto"/>
        <w:tabs>
          <w:tab w:leader="none" w:pos="64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stockholder action may not be taken by written action in lieu of a meeting; and</w:t>
      </w:r>
    </w:p>
    <w:p>
      <w:pPr>
        <w:ind w:left="640" w:hanging="319"/>
        <w:spacing w:after="0"/>
        <w:tabs>
          <w:tab w:leader="none" w:pos="64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special meetings of the stockholders may only be called by our president or by our board of directors.</w:t>
      </w:r>
    </w:p>
    <w:p>
      <w:pPr>
        <w:spacing w:after="0" w:line="89" w:lineRule="exact"/>
        <w:rPr>
          <w:sz w:val="20"/>
          <w:szCs w:val="20"/>
          <w:color w:val="auto"/>
        </w:rPr>
      </w:pPr>
    </w:p>
    <w:p>
      <w:pPr>
        <w:ind w:right="120" w:firstLine="631"/>
        <w:spacing w:after="0" w:line="219" w:lineRule="auto"/>
        <w:rPr>
          <w:sz w:val="20"/>
          <w:szCs w:val="20"/>
          <w:color w:val="auto"/>
        </w:rPr>
      </w:pPr>
      <w:r>
        <w:rPr>
          <w:rFonts w:ascii="Times New Roman" w:cs="Times New Roman" w:eastAsia="Times New Roman" w:hAnsi="Times New Roman"/>
          <w:sz w:val="21"/>
          <w:szCs w:val="21"/>
          <w:color w:val="auto"/>
        </w:rPr>
        <w:t>The foregoing provisions could have the effect of delaying until the next stockholders’ meeting stockholder actions that are favored by the holders of a majority of our outstanding voting securities. These provisions may also discourage another person or entity from making a tender offer for our common stock, because that person or entity, even if it acquired a majority of our outstanding voting securities, would be able to take action as a stockholder only at a duly called stockholders’ meeting, and not by written consent. Our certificate of incorporation and by-laws require the affirmative vote of the holders of at least 75% of our shares of capital stock issued and outstanding and entitled to vote to amend or repeal any of these provisions.</w:t>
      </w:r>
    </w:p>
    <w:p>
      <w:pPr>
        <w:spacing w:after="0" w:line="69" w:lineRule="exact"/>
        <w:rPr>
          <w:sz w:val="20"/>
          <w:szCs w:val="20"/>
          <w:color w:val="auto"/>
        </w:rPr>
      </w:pPr>
    </w:p>
    <w:p>
      <w:pPr>
        <w:ind w:right="20" w:firstLine="631"/>
        <w:spacing w:after="0" w:line="215" w:lineRule="auto"/>
        <w:rPr>
          <w:sz w:val="20"/>
          <w:szCs w:val="20"/>
          <w:color w:val="auto"/>
        </w:rPr>
      </w:pPr>
      <w:r>
        <w:rPr>
          <w:rFonts w:ascii="Times New Roman" w:cs="Times New Roman" w:eastAsia="Times New Roman" w:hAnsi="Times New Roman"/>
          <w:sz w:val="21"/>
          <w:szCs w:val="21"/>
          <w:i w:val="1"/>
          <w:iCs w:val="1"/>
          <w:color w:val="auto"/>
        </w:rPr>
        <w:t>Advance Notice Requirements for Stockholder Proposals and Director Nominations</w:t>
      </w:r>
      <w:r>
        <w:rPr>
          <w:rFonts w:ascii="Times New Roman" w:cs="Times New Roman" w:eastAsia="Times New Roman" w:hAnsi="Times New Roman"/>
          <w:sz w:val="21"/>
          <w:szCs w:val="21"/>
          <w:color w:val="auto"/>
        </w:rPr>
        <w:t>. Our by-laws provide that nominations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for election to the board of directors may be made either by the board or by a stockholder who complies with specified advance notice provisions. Our by-laws contain similar advance notice provisions for stockholder proposals for action at a stockholders’ meeting. These provisions prevent stockholders from making nominations for directors and proposals from the floor at any stockholders’ meeting and require any stockholder making a nomination or proposal to give us advance notice of the names of the nominees or the stockholder proposal, together with specified information about the nominee or any stockholder proposal, before the meeting at which directors are to be elected or action is to be taken. Our secretary must generally receive the notice at least 90 days, but no more than 120 days, before the date specified in our by-laws for the date of the annual meeting. The notice must contain, among other things, a description of the business the stockholder desires to bring before the meeting, its reasons for doing so, the text of the proposal, the name and address of the stockholder, any material interest the stockholder may have in the business, the stockholder’s</w:t>
      </w:r>
    </w:p>
    <w:p>
      <w:pPr>
        <w:sectPr>
          <w:pgSz w:w="11900" w:h="16838" w:orient="portrait"/>
          <w:cols w:equalWidth="0" w:num="1">
            <w:col w:w="11240"/>
          </w:cols>
          <w:pgMar w:left="320" w:top="1440" w:right="339" w:bottom="1440" w:gutter="0" w:footer="0" w:header="0"/>
        </w:sectPr>
      </w:pPr>
    </w:p>
    <w:bookmarkStart w:id="84" w:name="page85"/>
    <w:bookmarkEnd w:id="84"/>
    <w:p>
      <w:pPr>
        <w:spacing w:after="0" w:line="6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1"/>
          <w:szCs w:val="21"/>
          <w:color w:val="auto"/>
        </w:rPr>
        <w:t>beneficial ownership of our securities and disclosure of derivative or short positions, profits interests, options, hedging transactions, borrowed or loaned shares or other agreements, arrangements or understandings the effect or intent of which is to mitigate loss, manage risk or benefit from changes in prices of our capital stock or increase or decrease voting power in our stock. If the proponent does not appear at the annual meeting or send a qualified representative to propose its business or make its nomination, such business will not be transacted and such nomination will be disregarded.</w:t>
      </w:r>
    </w:p>
    <w:p>
      <w:pPr>
        <w:spacing w:after="0" w:line="71" w:lineRule="exact"/>
        <w:rPr>
          <w:sz w:val="20"/>
          <w:szCs w:val="20"/>
          <w:color w:val="auto"/>
        </w:rPr>
      </w:pPr>
    </w:p>
    <w:p>
      <w:pPr>
        <w:jc w:val="both"/>
        <w:ind w:right="100" w:firstLine="631"/>
        <w:spacing w:after="0" w:line="230" w:lineRule="auto"/>
        <w:rPr>
          <w:sz w:val="20"/>
          <w:szCs w:val="20"/>
          <w:color w:val="auto"/>
        </w:rPr>
      </w:pPr>
      <w:r>
        <w:rPr>
          <w:rFonts w:ascii="Times New Roman" w:cs="Times New Roman" w:eastAsia="Times New Roman" w:hAnsi="Times New Roman"/>
          <w:sz w:val="21"/>
          <w:szCs w:val="21"/>
          <w:color w:val="auto"/>
        </w:rPr>
        <w:t>These provisions may have the effect of delaying stockholder action. Our certificate of incorporation and by-laws require the affirmative vote of the holders of at least 75% of our shares of capital stock issued and outstanding and entitled to vote to amend or repeal these provisions.</w:t>
      </w:r>
    </w:p>
    <w:p>
      <w:pPr>
        <w:spacing w:after="0" w:line="79" w:lineRule="exact"/>
        <w:rPr>
          <w:sz w:val="20"/>
          <w:szCs w:val="20"/>
          <w:color w:val="auto"/>
        </w:rPr>
      </w:pPr>
    </w:p>
    <w:p>
      <w:pPr>
        <w:ind w:right="40" w:firstLine="631"/>
        <w:spacing w:after="0" w:line="231" w:lineRule="auto"/>
        <w:rPr>
          <w:sz w:val="20"/>
          <w:szCs w:val="20"/>
          <w:color w:val="auto"/>
        </w:rPr>
      </w:pPr>
      <w:r>
        <w:rPr>
          <w:rFonts w:ascii="Times New Roman" w:cs="Times New Roman" w:eastAsia="Times New Roman" w:hAnsi="Times New Roman"/>
          <w:sz w:val="21"/>
          <w:szCs w:val="21"/>
          <w:i w:val="1"/>
          <w:iCs w:val="1"/>
          <w:color w:val="auto"/>
        </w:rPr>
        <w:t>Limitation of Liability and Indemnification</w:t>
      </w:r>
      <w:r>
        <w:rPr>
          <w:rFonts w:ascii="Times New Roman" w:cs="Times New Roman" w:eastAsia="Times New Roman" w:hAnsi="Times New Roman"/>
          <w:sz w:val="21"/>
          <w:szCs w:val="21"/>
          <w:color w:val="auto"/>
        </w:rPr>
        <w:t>. Our certificate of incorporation and by-laws contain provisions to limit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liability of our directors to the maximum extent permitted by Delaware law. As a result, our directors will not be personally liable for monetary damages for breach of their fiduciary duties as a director, except for liability:</w:t>
      </w:r>
    </w:p>
    <w:p>
      <w:pPr>
        <w:spacing w:after="0" w:line="73" w:lineRule="exact"/>
        <w:rPr>
          <w:sz w:val="20"/>
          <w:szCs w:val="20"/>
          <w:color w:val="auto"/>
        </w:rPr>
      </w:pPr>
    </w:p>
    <w:p>
      <w:pPr>
        <w:ind w:left="640" w:hanging="319"/>
        <w:spacing w:after="0"/>
        <w:tabs>
          <w:tab w:leader="none" w:pos="64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any breach of the director’s duty of loyalty to us or our stockholders;</w:t>
      </w:r>
    </w:p>
    <w:p>
      <w:pPr>
        <w:ind w:left="640" w:hanging="319"/>
        <w:spacing w:after="0" w:line="209" w:lineRule="auto"/>
        <w:tabs>
          <w:tab w:leader="none" w:pos="64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acts or omissions not in good faith or which involve intentional misconduct or a knowing violation of law;</w:t>
      </w:r>
    </w:p>
    <w:p>
      <w:pPr>
        <w:ind w:left="640" w:right="560" w:hanging="319"/>
        <w:spacing w:after="0" w:line="209" w:lineRule="auto"/>
        <w:tabs>
          <w:tab w:leader="none" w:pos="635"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unlawful payments of dividends or unlawful stock repurchases or redemptions as provided under Section 174 of the Delaware General Corporation Law; or</w:t>
      </w:r>
    </w:p>
    <w:p>
      <w:pPr>
        <w:ind w:left="640" w:hanging="319"/>
        <w:spacing w:after="0"/>
        <w:tabs>
          <w:tab w:leader="none" w:pos="64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any transaction from which the director derived an improper personal benefit.</w:t>
      </w:r>
    </w:p>
    <w:p>
      <w:pPr>
        <w:spacing w:after="0" w:line="76" w:lineRule="exact"/>
        <w:rPr>
          <w:sz w:val="20"/>
          <w:szCs w:val="20"/>
          <w:color w:val="auto"/>
        </w:rPr>
      </w:pPr>
    </w:p>
    <w:p>
      <w:pPr>
        <w:ind w:right="20" w:firstLine="631"/>
        <w:spacing w:after="0" w:line="214" w:lineRule="auto"/>
        <w:rPr>
          <w:sz w:val="20"/>
          <w:szCs w:val="20"/>
          <w:color w:val="auto"/>
        </w:rPr>
      </w:pPr>
      <w:r>
        <w:rPr>
          <w:rFonts w:ascii="Times New Roman" w:cs="Times New Roman" w:eastAsia="Times New Roman" w:hAnsi="Times New Roman"/>
          <w:sz w:val="21"/>
          <w:szCs w:val="21"/>
          <w:color w:val="auto"/>
        </w:rPr>
        <w:t>Our certificate of incorporation generally provides for the indemnification of our directors and officers to the extent they: (a) act in good faith and in a manner they reasonably believe to be in, or not opposed to, our best interests, and, with respect to any criminal action or proceeding, have no reasonable cause to believe that their conduct is unlawful; or (b) are successful on the merits in defense of an action, suit or proceeding in accordance with Delaware law. In certain circumstances relating to suits by or in our right, we may provide indemnification despite an adjudication of liability if such indemnified person is fairly and reasonably entitled to indemnity, to the extent the Court of Chancery of Delaware or the court in which such action or suit was brought determines appropriate. In certain circumstances, our certificate of incorporation requires us to advance expenses incurred by an indemnified person in connection with the defense of any action or proceeding arising out of the person’s status or service as our director, officer, employee or other agent upon an undertaking by the person to repay those advances if it is ultimately determined that the person is not entitled to indemnification. We believe that these provisions will assist us in attracting and retaining qualified individuals to serve as directors and officers.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Transfer Agent</w:t>
      </w:r>
    </w:p>
    <w:p>
      <w:pPr>
        <w:spacing w:after="0" w:line="1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transfer agent for our common stock is Computershare, Inc.</w:t>
      </w:r>
    </w:p>
    <w:p>
      <w:pPr>
        <w:sectPr>
          <w:pgSz w:w="11900" w:h="16838" w:orient="portrait"/>
          <w:cols w:equalWidth="0" w:num="1">
            <w:col w:w="11240"/>
          </w:cols>
          <w:pgMar w:left="320" w:top="1440"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21"/>
          <w:szCs w:val="21"/>
          <w:b w:val="1"/>
          <w:bCs w:val="1"/>
          <w:color w:val="auto"/>
        </w:rPr>
        <w:t>Exhibit 10.6</w:t>
      </w:r>
    </w:p>
    <w:p>
      <w:pPr>
        <w:spacing w:after="0" w:line="11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1"/>
          <w:szCs w:val="21"/>
          <w:b w:val="1"/>
          <w:bCs w:val="1"/>
          <w:color w:val="auto"/>
        </w:rPr>
        <w:t>KVH Industries, Inc.</w:t>
      </w:r>
    </w:p>
    <w:p>
      <w:pPr>
        <w:spacing w:after="0" w:line="176"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1"/>
          <w:szCs w:val="21"/>
          <w:b w:val="1"/>
          <w:bCs w:val="1"/>
          <w:color w:val="auto"/>
        </w:rPr>
        <w:t>Policies Regarding Non-Employee Director</w:t>
      </w: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Compensation and Stock Ownership Guidelines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May 1, 2022</w:t>
      </w:r>
    </w:p>
    <w:p>
      <w:pPr>
        <w:spacing w:after="0" w:line="200" w:lineRule="exact"/>
        <w:rPr>
          <w:sz w:val="20"/>
          <w:szCs w:val="20"/>
          <w:color w:val="auto"/>
        </w:rPr>
      </w:pPr>
    </w:p>
    <w:p>
      <w:pPr>
        <w:spacing w:after="0" w:line="216" w:lineRule="exact"/>
        <w:rPr>
          <w:sz w:val="20"/>
          <w:szCs w:val="20"/>
          <w:color w:val="auto"/>
        </w:rPr>
      </w:pPr>
    </w:p>
    <w:p>
      <w:pPr>
        <w:ind w:right="60" w:firstLine="631"/>
        <w:spacing w:after="0" w:line="218" w:lineRule="auto"/>
        <w:rPr>
          <w:sz w:val="20"/>
          <w:szCs w:val="20"/>
          <w:color w:val="auto"/>
        </w:rPr>
      </w:pPr>
      <w:r>
        <w:rPr>
          <w:rFonts w:ascii="Times New Roman" w:cs="Times New Roman" w:eastAsia="Times New Roman" w:hAnsi="Times New Roman"/>
          <w:sz w:val="21"/>
          <w:szCs w:val="21"/>
          <w:color w:val="auto"/>
        </w:rPr>
        <w:t>On May 1, 2022, the Compensation Committee (the “</w:t>
      </w:r>
      <w:r>
        <w:rPr>
          <w:rFonts w:ascii="Times New Roman" w:cs="Times New Roman" w:eastAsia="Times New Roman" w:hAnsi="Times New Roman"/>
          <w:sz w:val="21"/>
          <w:szCs w:val="21"/>
          <w:b w:val="1"/>
          <w:bCs w:val="1"/>
          <w:color w:val="auto"/>
        </w:rPr>
        <w:t>Committee</w:t>
      </w:r>
      <w:r>
        <w:rPr>
          <w:rFonts w:ascii="Times New Roman" w:cs="Times New Roman" w:eastAsia="Times New Roman" w:hAnsi="Times New Roman"/>
          <w:sz w:val="21"/>
          <w:szCs w:val="21"/>
          <w:color w:val="auto"/>
        </w:rPr>
        <w:t>”) of the Board of Directors (the “</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of KVH Industries,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adopted resolutions establishing the following policies regarding (a) the compensation of each member of the Board who is not an employee of the Company or any subsidiary of the Company (a “</w:t>
      </w:r>
      <w:r>
        <w:rPr>
          <w:rFonts w:ascii="Times New Roman" w:cs="Times New Roman" w:eastAsia="Times New Roman" w:hAnsi="Times New Roman"/>
          <w:sz w:val="21"/>
          <w:szCs w:val="21"/>
          <w:b w:val="1"/>
          <w:bCs w:val="1"/>
          <w:color w:val="auto"/>
        </w:rPr>
        <w:t>Non-Employee Director</w:t>
      </w:r>
      <w:r>
        <w:rPr>
          <w:rFonts w:ascii="Times New Roman" w:cs="Times New Roman" w:eastAsia="Times New Roman" w:hAnsi="Times New Roman"/>
          <w:sz w:val="21"/>
          <w:szCs w:val="21"/>
          <w:color w:val="auto"/>
        </w:rPr>
        <w:t>”) and</w:t>
      </w:r>
    </w:p>
    <w:p>
      <w:pPr>
        <w:spacing w:after="0" w:line="1" w:lineRule="exact"/>
        <w:rPr>
          <w:sz w:val="20"/>
          <w:szCs w:val="20"/>
          <w:color w:val="auto"/>
        </w:rPr>
      </w:pPr>
    </w:p>
    <w:p>
      <w:pPr>
        <w:ind w:left="300" w:hanging="295"/>
        <w:spacing w:after="0"/>
        <w:tabs>
          <w:tab w:leader="none" w:pos="30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stock ownership guidelines for Non-Employee Directors.</w:t>
      </w:r>
    </w:p>
    <w:p>
      <w:pPr>
        <w:spacing w:after="0" w:line="151" w:lineRule="exact"/>
        <w:rPr>
          <w:rFonts w:ascii="Times New Roman" w:cs="Times New Roman" w:eastAsia="Times New Roman" w:hAnsi="Times New Roman"/>
          <w:sz w:val="21"/>
          <w:szCs w:val="21"/>
          <w:color w:val="auto"/>
        </w:rPr>
      </w:pPr>
    </w:p>
    <w:p>
      <w:pPr>
        <w:ind w:right="60" w:firstLine="636"/>
        <w:spacing w:after="0" w:line="246" w:lineRule="auto"/>
        <w:tabs>
          <w:tab w:leader="none" w:pos="999" w:val="left"/>
        </w:tabs>
        <w:numPr>
          <w:ilvl w:val="2"/>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Cash Compensation</w:t>
      </w:r>
      <w:r>
        <w:rPr>
          <w:rFonts w:ascii="Times New Roman" w:cs="Times New Roman" w:eastAsia="Times New Roman" w:hAnsi="Times New Roman"/>
          <w:sz w:val="21"/>
          <w:szCs w:val="21"/>
          <w:color w:val="auto"/>
        </w:rPr>
        <w:t>. Effective after the 2022 annual meeting of stockholders, Non-Employee Directors shall receive 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annual cash retainer of $26,250 as well as $2,625 for each regularly scheduled quarterly Board meeting that they attend.</w:t>
      </w:r>
    </w:p>
    <w:p>
      <w:pPr>
        <w:spacing w:after="0" w:line="135" w:lineRule="exact"/>
        <w:rPr>
          <w:rFonts w:ascii="Times New Roman" w:cs="Times New Roman" w:eastAsia="Times New Roman" w:hAnsi="Times New Roman"/>
          <w:sz w:val="21"/>
          <w:szCs w:val="21"/>
          <w:color w:val="auto"/>
        </w:rPr>
      </w:pPr>
    </w:p>
    <w:p>
      <w:pPr>
        <w:ind w:right="80" w:firstLine="636"/>
        <w:spacing w:after="0" w:line="220" w:lineRule="auto"/>
        <w:tabs>
          <w:tab w:leader="none" w:pos="999" w:val="left"/>
        </w:tabs>
        <w:numPr>
          <w:ilvl w:val="2"/>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Annual Equity Grant for Board Service</w:t>
      </w:r>
      <w:r>
        <w:rPr>
          <w:rFonts w:ascii="Times New Roman" w:cs="Times New Roman" w:eastAsia="Times New Roman" w:hAnsi="Times New Roman"/>
          <w:sz w:val="21"/>
          <w:szCs w:val="21"/>
          <w:color w:val="auto"/>
        </w:rPr>
        <w:t>. Effective after the 2022 annual meeting of stockholders, Non-Employee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Directors will receive, at the first board meeting following the annual meeting of stockholders, an annual restricted stock award having a fair market value of $75,000 on the date of grant (the “</w:t>
      </w:r>
      <w:r>
        <w:rPr>
          <w:rFonts w:ascii="Times New Roman" w:cs="Times New Roman" w:eastAsia="Times New Roman" w:hAnsi="Times New Roman"/>
          <w:sz w:val="21"/>
          <w:szCs w:val="21"/>
          <w:b w:val="1"/>
          <w:bCs w:val="1"/>
          <w:color w:val="auto"/>
        </w:rPr>
        <w:t>Annual Grant</w:t>
      </w:r>
      <w:r>
        <w:rPr>
          <w:rFonts w:ascii="Times New Roman" w:cs="Times New Roman" w:eastAsia="Times New Roman" w:hAnsi="Times New Roman"/>
          <w:sz w:val="21"/>
          <w:szCs w:val="21"/>
          <w:color w:val="auto"/>
        </w:rPr>
        <w:t>”), the number of shares to be determined by dividing such value by the closing price of the Company’s common stock on the date of grant. The Annual Grant shall vest in four equal quarterly installments, the first of which shall vest three months after the date of grant and the last of which shall vest not later than the date of the next annual meeting of stockholders.</w:t>
      </w:r>
    </w:p>
    <w:p>
      <w:pPr>
        <w:spacing w:after="0" w:line="143" w:lineRule="exact"/>
        <w:rPr>
          <w:rFonts w:ascii="Times New Roman" w:cs="Times New Roman" w:eastAsia="Times New Roman" w:hAnsi="Times New Roman"/>
          <w:sz w:val="21"/>
          <w:szCs w:val="21"/>
          <w:color w:val="auto"/>
        </w:rPr>
      </w:pPr>
    </w:p>
    <w:p>
      <w:pPr>
        <w:ind w:right="300" w:firstLine="215"/>
        <w:spacing w:after="0" w:line="222" w:lineRule="auto"/>
        <w:tabs>
          <w:tab w:leader="none" w:pos="578"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Annual Equity Grants for Committee Service</w:t>
      </w:r>
      <w:r>
        <w:rPr>
          <w:rFonts w:ascii="Times New Roman" w:cs="Times New Roman" w:eastAsia="Times New Roman" w:hAnsi="Times New Roman"/>
          <w:sz w:val="21"/>
          <w:szCs w:val="21"/>
          <w:color w:val="auto"/>
        </w:rPr>
        <w:t>. Effective after the 2022 annual meeting of stockholders, Non-Employee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Directors serving in the capacities indicated in the following table will receive, at the first board meeting following the annual meeting of stockholders, additional annual restricted stock awards having a fair market value in the amount indicated in the following table for each such position (the “</w:t>
      </w:r>
      <w:r>
        <w:rPr>
          <w:rFonts w:ascii="Times New Roman" w:cs="Times New Roman" w:eastAsia="Times New Roman" w:hAnsi="Times New Roman"/>
          <w:sz w:val="21"/>
          <w:szCs w:val="21"/>
          <w:b w:val="1"/>
          <w:bCs w:val="1"/>
          <w:color w:val="auto"/>
        </w:rPr>
        <w:t>Committee Chair and Member Grants</w:t>
      </w:r>
      <w:r>
        <w:rPr>
          <w:rFonts w:ascii="Times New Roman" w:cs="Times New Roman" w:eastAsia="Times New Roman" w:hAnsi="Times New Roman"/>
          <w:sz w:val="21"/>
          <w:szCs w:val="21"/>
          <w:color w:val="auto"/>
        </w:rPr>
        <w:t>”), the number of shares to be determined by dividing such value by the closing price of the Company’s common stock on the date of grant:</w:t>
      </w:r>
    </w:p>
    <w:p>
      <w:pPr>
        <w:sectPr>
          <w:pgSz w:w="11900" w:h="16838" w:orient="portrait"/>
          <w:cols w:equalWidth="0" w:num="1">
            <w:col w:w="11240"/>
          </w:cols>
          <w:pgMar w:left="320" w:top="1357" w:right="339" w:bottom="1440" w:gutter="0" w:footer="0" w:header="0"/>
        </w:sectPr>
      </w:pPr>
    </w:p>
    <w:bookmarkStart w:id="86" w:name="page87"/>
    <w:bookmarkEnd w:id="86"/>
    <w:tbl>
      <w:tblPr>
        <w:tblLayout w:type="fixed"/>
        <w:tblInd w:w="320" w:type="dxa"/>
        <w:tblCellMar>
          <w:top w:w="0" w:type="dxa"/>
          <w:left w:w="0" w:type="dxa"/>
          <w:bottom w:w="0" w:type="dxa"/>
          <w:right w:w="0" w:type="dxa"/>
        </w:tblCellMar>
      </w:tblPr>
      <w:tr>
        <w:trPr>
          <w:trHeight w:val="241"/>
        </w:trPr>
        <w:tc>
          <w:tcPr>
            <w:tcW w:w="7160" w:type="dxa"/>
            <w:vAlign w:val="bottom"/>
            <w:vMerge w:val="restart"/>
          </w:tcPr>
          <w:p>
            <w:pPr>
              <w:ind w:left="80"/>
              <w:spacing w:after="0"/>
              <w:rPr>
                <w:sz w:val="20"/>
                <w:szCs w:val="20"/>
                <w:color w:val="auto"/>
              </w:rPr>
            </w:pPr>
            <w:r>
              <w:rPr>
                <w:rFonts w:ascii="Times New Roman" w:cs="Times New Roman" w:eastAsia="Times New Roman" w:hAnsi="Times New Roman"/>
                <w:sz w:val="21"/>
                <w:szCs w:val="21"/>
                <w:b w:val="1"/>
                <w:bCs w:val="1"/>
                <w:color w:val="auto"/>
              </w:rPr>
              <w:t>Position</w:t>
            </w:r>
          </w:p>
        </w:tc>
        <w:tc>
          <w:tcPr>
            <w:tcW w:w="2900" w:type="dxa"/>
            <w:vAlign w:val="bottom"/>
          </w:tcPr>
          <w:p>
            <w:pPr>
              <w:ind w:left="460"/>
              <w:spacing w:after="0"/>
              <w:rPr>
                <w:sz w:val="20"/>
                <w:szCs w:val="20"/>
                <w:color w:val="auto"/>
              </w:rPr>
            </w:pPr>
            <w:r>
              <w:rPr>
                <w:rFonts w:ascii="Times New Roman" w:cs="Times New Roman" w:eastAsia="Times New Roman" w:hAnsi="Times New Roman"/>
                <w:sz w:val="21"/>
                <w:szCs w:val="21"/>
                <w:b w:val="1"/>
                <w:bCs w:val="1"/>
                <w:color w:val="auto"/>
                <w:w w:val="98"/>
              </w:rPr>
              <w:t>Annual Value of Restricted</w:t>
            </w:r>
          </w:p>
        </w:tc>
        <w:tc>
          <w:tcPr>
            <w:tcW w:w="0" w:type="dxa"/>
            <w:vAlign w:val="bottom"/>
          </w:tcPr>
          <w:p>
            <w:pPr>
              <w:spacing w:after="0"/>
              <w:rPr>
                <w:sz w:val="1"/>
                <w:szCs w:val="1"/>
                <w:color w:val="auto"/>
              </w:rPr>
            </w:pPr>
          </w:p>
        </w:tc>
      </w:tr>
      <w:tr>
        <w:trPr>
          <w:trHeight w:val="276"/>
        </w:trPr>
        <w:tc>
          <w:tcPr>
            <w:tcW w:w="7160" w:type="dxa"/>
            <w:vAlign w:val="bottom"/>
            <w:tcBorders>
              <w:bottom w:val="single" w:sz="8" w:color="auto"/>
            </w:tcBorders>
            <w:vMerge w:val="continue"/>
          </w:tcPr>
          <w:p>
            <w:pPr>
              <w:spacing w:after="0"/>
              <w:rPr>
                <w:sz w:val="24"/>
                <w:szCs w:val="24"/>
                <w:color w:val="auto"/>
              </w:rPr>
            </w:pPr>
          </w:p>
        </w:tc>
        <w:tc>
          <w:tcPr>
            <w:tcW w:w="29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21"/>
                <w:szCs w:val="21"/>
                <w:b w:val="1"/>
                <w:bCs w:val="1"/>
                <w:color w:val="auto"/>
              </w:rPr>
              <w:t>Stock Awards</w:t>
            </w:r>
          </w:p>
        </w:tc>
        <w:tc>
          <w:tcPr>
            <w:tcW w:w="0" w:type="dxa"/>
            <w:vAlign w:val="bottom"/>
          </w:tcPr>
          <w:p>
            <w:pPr>
              <w:spacing w:after="0"/>
              <w:rPr>
                <w:sz w:val="1"/>
                <w:szCs w:val="1"/>
                <w:color w:val="auto"/>
              </w:rPr>
            </w:pPr>
          </w:p>
        </w:tc>
      </w:tr>
      <w:tr>
        <w:trPr>
          <w:trHeight w:val="294"/>
        </w:trPr>
        <w:tc>
          <w:tcPr>
            <w:tcW w:w="716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Non-Employee Chair of the Board or Lead Independent Director</w:t>
            </w:r>
          </w:p>
        </w:tc>
        <w:tc>
          <w:tcPr>
            <w:tcW w:w="2900" w:type="dxa"/>
            <w:vAlign w:val="bottom"/>
          </w:tcPr>
          <w:p>
            <w:pPr>
              <w:jc w:val="right"/>
              <w:ind w:right="635"/>
              <w:spacing w:after="0"/>
              <w:rPr>
                <w:sz w:val="20"/>
                <w:szCs w:val="20"/>
                <w:color w:val="auto"/>
              </w:rPr>
            </w:pPr>
            <w:r>
              <w:rPr>
                <w:rFonts w:ascii="Times New Roman" w:cs="Times New Roman" w:eastAsia="Times New Roman" w:hAnsi="Times New Roman"/>
                <w:sz w:val="21"/>
                <w:szCs w:val="21"/>
                <w:color w:val="auto"/>
              </w:rPr>
              <w:t>$ 7,500</w:t>
            </w:r>
          </w:p>
        </w:tc>
        <w:tc>
          <w:tcPr>
            <w:tcW w:w="0" w:type="dxa"/>
            <w:vAlign w:val="bottom"/>
          </w:tcPr>
          <w:p>
            <w:pPr>
              <w:spacing w:after="0"/>
              <w:rPr>
                <w:sz w:val="1"/>
                <w:szCs w:val="1"/>
                <w:color w:val="auto"/>
              </w:rPr>
            </w:pPr>
          </w:p>
        </w:tc>
      </w:tr>
      <w:tr>
        <w:trPr>
          <w:trHeight w:val="315"/>
        </w:trPr>
        <w:tc>
          <w:tcPr>
            <w:tcW w:w="716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Audit Committee Chair</w:t>
            </w:r>
          </w:p>
        </w:tc>
        <w:tc>
          <w:tcPr>
            <w:tcW w:w="2900" w:type="dxa"/>
            <w:vAlign w:val="bottom"/>
          </w:tcPr>
          <w:p>
            <w:pPr>
              <w:jc w:val="right"/>
              <w:ind w:right="635"/>
              <w:spacing w:after="0"/>
              <w:rPr>
                <w:sz w:val="20"/>
                <w:szCs w:val="20"/>
                <w:color w:val="auto"/>
              </w:rPr>
            </w:pPr>
            <w:r>
              <w:rPr>
                <w:rFonts w:ascii="Times New Roman" w:cs="Times New Roman" w:eastAsia="Times New Roman" w:hAnsi="Times New Roman"/>
                <w:sz w:val="21"/>
                <w:szCs w:val="21"/>
                <w:color w:val="auto"/>
              </w:rPr>
              <w:t>18,000</w:t>
            </w:r>
          </w:p>
        </w:tc>
        <w:tc>
          <w:tcPr>
            <w:tcW w:w="0" w:type="dxa"/>
            <w:vAlign w:val="bottom"/>
          </w:tcPr>
          <w:p>
            <w:pPr>
              <w:spacing w:after="0"/>
              <w:rPr>
                <w:sz w:val="1"/>
                <w:szCs w:val="1"/>
                <w:color w:val="auto"/>
              </w:rPr>
            </w:pPr>
          </w:p>
        </w:tc>
      </w:tr>
      <w:tr>
        <w:trPr>
          <w:trHeight w:val="315"/>
        </w:trPr>
        <w:tc>
          <w:tcPr>
            <w:tcW w:w="716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Audit Committee Member (other than Chair)</w:t>
            </w:r>
          </w:p>
        </w:tc>
        <w:tc>
          <w:tcPr>
            <w:tcW w:w="2900" w:type="dxa"/>
            <w:vAlign w:val="bottom"/>
          </w:tcPr>
          <w:p>
            <w:pPr>
              <w:jc w:val="right"/>
              <w:ind w:right="635"/>
              <w:spacing w:after="0"/>
              <w:rPr>
                <w:sz w:val="20"/>
                <w:szCs w:val="20"/>
                <w:color w:val="auto"/>
              </w:rPr>
            </w:pPr>
            <w:r>
              <w:rPr>
                <w:rFonts w:ascii="Times New Roman" w:cs="Times New Roman" w:eastAsia="Times New Roman" w:hAnsi="Times New Roman"/>
                <w:sz w:val="21"/>
                <w:szCs w:val="21"/>
                <w:color w:val="auto"/>
              </w:rPr>
              <w:t>9,000</w:t>
            </w:r>
          </w:p>
        </w:tc>
        <w:tc>
          <w:tcPr>
            <w:tcW w:w="0" w:type="dxa"/>
            <w:vAlign w:val="bottom"/>
          </w:tcPr>
          <w:p>
            <w:pPr>
              <w:spacing w:after="0"/>
              <w:rPr>
                <w:sz w:val="1"/>
                <w:szCs w:val="1"/>
                <w:color w:val="auto"/>
              </w:rPr>
            </w:pPr>
          </w:p>
        </w:tc>
      </w:tr>
      <w:tr>
        <w:trPr>
          <w:trHeight w:val="315"/>
        </w:trPr>
        <w:tc>
          <w:tcPr>
            <w:tcW w:w="716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Compensation Committee Chair</w:t>
            </w:r>
          </w:p>
        </w:tc>
        <w:tc>
          <w:tcPr>
            <w:tcW w:w="2900" w:type="dxa"/>
            <w:vAlign w:val="bottom"/>
          </w:tcPr>
          <w:p>
            <w:pPr>
              <w:jc w:val="right"/>
              <w:ind w:right="635"/>
              <w:spacing w:after="0"/>
              <w:rPr>
                <w:sz w:val="20"/>
                <w:szCs w:val="20"/>
                <w:color w:val="auto"/>
              </w:rPr>
            </w:pPr>
            <w:r>
              <w:rPr>
                <w:rFonts w:ascii="Times New Roman" w:cs="Times New Roman" w:eastAsia="Times New Roman" w:hAnsi="Times New Roman"/>
                <w:sz w:val="21"/>
                <w:szCs w:val="21"/>
                <w:color w:val="auto"/>
              </w:rPr>
              <w:t>10,000</w:t>
            </w:r>
          </w:p>
        </w:tc>
        <w:tc>
          <w:tcPr>
            <w:tcW w:w="0" w:type="dxa"/>
            <w:vAlign w:val="bottom"/>
          </w:tcPr>
          <w:p>
            <w:pPr>
              <w:spacing w:after="0"/>
              <w:rPr>
                <w:sz w:val="1"/>
                <w:szCs w:val="1"/>
                <w:color w:val="auto"/>
              </w:rPr>
            </w:pPr>
          </w:p>
        </w:tc>
      </w:tr>
      <w:tr>
        <w:trPr>
          <w:trHeight w:val="315"/>
        </w:trPr>
        <w:tc>
          <w:tcPr>
            <w:tcW w:w="716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Compensation Committee Member (other than Chair)</w:t>
            </w:r>
          </w:p>
        </w:tc>
        <w:tc>
          <w:tcPr>
            <w:tcW w:w="2900" w:type="dxa"/>
            <w:vAlign w:val="bottom"/>
          </w:tcPr>
          <w:p>
            <w:pPr>
              <w:jc w:val="right"/>
              <w:ind w:right="635"/>
              <w:spacing w:after="0"/>
              <w:rPr>
                <w:sz w:val="20"/>
                <w:szCs w:val="20"/>
                <w:color w:val="auto"/>
              </w:rPr>
            </w:pPr>
            <w:r>
              <w:rPr>
                <w:rFonts w:ascii="Times New Roman" w:cs="Times New Roman" w:eastAsia="Times New Roman" w:hAnsi="Times New Roman"/>
                <w:sz w:val="21"/>
                <w:szCs w:val="21"/>
                <w:color w:val="auto"/>
              </w:rPr>
              <w:t>5,000</w:t>
            </w:r>
          </w:p>
        </w:tc>
        <w:tc>
          <w:tcPr>
            <w:tcW w:w="0" w:type="dxa"/>
            <w:vAlign w:val="bottom"/>
          </w:tcPr>
          <w:p>
            <w:pPr>
              <w:spacing w:after="0"/>
              <w:rPr>
                <w:sz w:val="1"/>
                <w:szCs w:val="1"/>
                <w:color w:val="auto"/>
              </w:rPr>
            </w:pPr>
          </w:p>
        </w:tc>
      </w:tr>
      <w:tr>
        <w:trPr>
          <w:trHeight w:val="315"/>
        </w:trPr>
        <w:tc>
          <w:tcPr>
            <w:tcW w:w="716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Nominating and Corporate Governance Committee Chair</w:t>
            </w:r>
          </w:p>
        </w:tc>
        <w:tc>
          <w:tcPr>
            <w:tcW w:w="2900" w:type="dxa"/>
            <w:vAlign w:val="bottom"/>
          </w:tcPr>
          <w:p>
            <w:pPr>
              <w:jc w:val="right"/>
              <w:ind w:right="635"/>
              <w:spacing w:after="0"/>
              <w:rPr>
                <w:sz w:val="20"/>
                <w:szCs w:val="20"/>
                <w:color w:val="auto"/>
              </w:rPr>
            </w:pPr>
            <w:r>
              <w:rPr>
                <w:rFonts w:ascii="Times New Roman" w:cs="Times New Roman" w:eastAsia="Times New Roman" w:hAnsi="Times New Roman"/>
                <w:sz w:val="21"/>
                <w:szCs w:val="21"/>
                <w:color w:val="auto"/>
              </w:rPr>
              <w:t>10,000</w:t>
            </w:r>
          </w:p>
        </w:tc>
        <w:tc>
          <w:tcPr>
            <w:tcW w:w="0" w:type="dxa"/>
            <w:vAlign w:val="bottom"/>
          </w:tcPr>
          <w:p>
            <w:pPr>
              <w:spacing w:after="0"/>
              <w:rPr>
                <w:sz w:val="1"/>
                <w:szCs w:val="1"/>
                <w:color w:val="auto"/>
              </w:rPr>
            </w:pPr>
          </w:p>
        </w:tc>
      </w:tr>
      <w:tr>
        <w:trPr>
          <w:trHeight w:val="328"/>
        </w:trPr>
        <w:tc>
          <w:tcPr>
            <w:tcW w:w="716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Nominating and Corporate Governance Committee Member (other than Chair)</w:t>
            </w:r>
          </w:p>
        </w:tc>
        <w:tc>
          <w:tcPr>
            <w:tcW w:w="2900" w:type="dxa"/>
            <w:vAlign w:val="bottom"/>
          </w:tcPr>
          <w:p>
            <w:pPr>
              <w:jc w:val="right"/>
              <w:ind w:right="635"/>
              <w:spacing w:after="0"/>
              <w:rPr>
                <w:sz w:val="20"/>
                <w:szCs w:val="20"/>
                <w:color w:val="auto"/>
              </w:rPr>
            </w:pPr>
            <w:r>
              <w:rPr>
                <w:rFonts w:ascii="Times New Roman" w:cs="Times New Roman" w:eastAsia="Times New Roman" w:hAnsi="Times New Roman"/>
                <w:sz w:val="21"/>
                <w:szCs w:val="21"/>
                <w:color w:val="auto"/>
              </w:rPr>
              <w:t>5,000</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right="320"/>
        <w:spacing w:after="0" w:line="242" w:lineRule="auto"/>
        <w:rPr>
          <w:sz w:val="20"/>
          <w:szCs w:val="20"/>
          <w:color w:val="auto"/>
        </w:rPr>
      </w:pPr>
      <w:r>
        <w:rPr>
          <w:rFonts w:ascii="Times New Roman" w:cs="Times New Roman" w:eastAsia="Times New Roman" w:hAnsi="Times New Roman"/>
          <w:sz w:val="21"/>
          <w:szCs w:val="21"/>
          <w:color w:val="auto"/>
        </w:rPr>
        <w:t>Each of the Committee Chair and Member Grants shall vest in full on the earlier of the first anniversary of the date of grant or the date of the next annual meeting of stockholders.</w:t>
      </w:r>
    </w:p>
    <w:p>
      <w:pPr>
        <w:spacing w:after="0" w:line="140" w:lineRule="exact"/>
        <w:rPr>
          <w:sz w:val="20"/>
          <w:szCs w:val="20"/>
          <w:color w:val="auto"/>
        </w:rPr>
      </w:pPr>
    </w:p>
    <w:p>
      <w:pPr>
        <w:ind w:right="100" w:firstLine="636"/>
        <w:spacing w:after="0" w:line="231" w:lineRule="auto"/>
        <w:tabs>
          <w:tab w:leader="none" w:pos="999"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Terms and Conditions of Equity Grants</w:t>
      </w:r>
      <w:r>
        <w:rPr>
          <w:rFonts w:ascii="Times New Roman" w:cs="Times New Roman" w:eastAsia="Times New Roman" w:hAnsi="Times New Roman"/>
          <w:sz w:val="21"/>
          <w:szCs w:val="21"/>
          <w:color w:val="auto"/>
        </w:rPr>
        <w:t>. Each of the Annual Grants and the Committee Chair and Member Grants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have such other terms and conditions as are set forth in the Company’s standard form of restricted stock award agreement most recently approved by the Committee for members of the Board.</w:t>
      </w:r>
    </w:p>
    <w:p>
      <w:pPr>
        <w:spacing w:after="0" w:line="143" w:lineRule="exact"/>
        <w:rPr>
          <w:rFonts w:ascii="Times New Roman" w:cs="Times New Roman" w:eastAsia="Times New Roman" w:hAnsi="Times New Roman"/>
          <w:sz w:val="21"/>
          <w:szCs w:val="21"/>
          <w:color w:val="auto"/>
        </w:rPr>
      </w:pPr>
    </w:p>
    <w:p>
      <w:pPr>
        <w:ind w:right="20" w:firstLine="636"/>
        <w:spacing w:after="0" w:line="226" w:lineRule="auto"/>
        <w:tabs>
          <w:tab w:leader="none" w:pos="999"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Awards for Newly Appointed Positions</w:t>
      </w:r>
      <w:r>
        <w:rPr>
          <w:rFonts w:ascii="Times New Roman" w:cs="Times New Roman" w:eastAsia="Times New Roman" w:hAnsi="Times New Roman"/>
          <w:sz w:val="21"/>
          <w:szCs w:val="21"/>
          <w:color w:val="auto"/>
        </w:rPr>
        <w:t>. Non-Employee Directors who are newly appointed to any of these positions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receive a pro rata award (calculated using the same closing price of the Company’s common stock on the date of the first board meeting following the annual meeting of stockholders that was used to determine the number of shares constituting the Annual Grant and the Committee Chair and Member Grants) based on their period of service in that position relative to a full year of service.</w:t>
      </w:r>
    </w:p>
    <w:p>
      <w:pPr>
        <w:spacing w:after="0" w:line="141" w:lineRule="exact"/>
        <w:rPr>
          <w:rFonts w:ascii="Times New Roman" w:cs="Times New Roman" w:eastAsia="Times New Roman" w:hAnsi="Times New Roman"/>
          <w:sz w:val="21"/>
          <w:szCs w:val="21"/>
          <w:color w:val="auto"/>
        </w:rPr>
      </w:pPr>
    </w:p>
    <w:p>
      <w:pPr>
        <w:ind w:firstLine="636"/>
        <w:spacing w:after="0" w:line="222" w:lineRule="auto"/>
        <w:tabs>
          <w:tab w:leader="none" w:pos="999"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Change of Control</w:t>
      </w:r>
      <w:r>
        <w:rPr>
          <w:rFonts w:ascii="Times New Roman" w:cs="Times New Roman" w:eastAsia="Times New Roman" w:hAnsi="Times New Roman"/>
          <w:sz w:val="21"/>
          <w:szCs w:val="21"/>
          <w:color w:val="auto"/>
        </w:rPr>
        <w:t>. All future equity awards granted by the Company to Non-Employee Directors of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 the KVH Industries, Inc. Amended and Restated 2016 Equity and Incentive Plan (as amended to date, the “</w:t>
      </w:r>
      <w:r>
        <w:rPr>
          <w:rFonts w:ascii="Times New Roman" w:cs="Times New Roman" w:eastAsia="Times New Roman" w:hAnsi="Times New Roman"/>
          <w:sz w:val="21"/>
          <w:szCs w:val="21"/>
          <w:b w:val="1"/>
          <w:bCs w:val="1"/>
          <w:color w:val="auto"/>
        </w:rPr>
        <w:t>2016 Plan</w:t>
      </w:r>
      <w:r>
        <w:rPr>
          <w:rFonts w:ascii="Times New Roman" w:cs="Times New Roman" w:eastAsia="Times New Roman" w:hAnsi="Times New Roman"/>
          <w:sz w:val="21"/>
          <w:szCs w:val="21"/>
          <w:color w:val="auto"/>
        </w:rPr>
        <w:t>”) shall (except to the extent otherwise determined by the Committee or the Board prior to such a grant) vest and become exercisable in full immediately prior to the consummation of a Change of Control (as such term may be defined in the 2016 Plan at the time of any such Change of Control).</w:t>
      </w:r>
    </w:p>
    <w:p>
      <w:pPr>
        <w:spacing w:after="0" w:line="171" w:lineRule="exact"/>
        <w:rPr>
          <w:rFonts w:ascii="Times New Roman" w:cs="Times New Roman" w:eastAsia="Times New Roman" w:hAnsi="Times New Roman"/>
          <w:sz w:val="21"/>
          <w:szCs w:val="21"/>
          <w:color w:val="auto"/>
        </w:rPr>
      </w:pPr>
    </w:p>
    <w:p>
      <w:pPr>
        <w:ind w:right="100" w:firstLine="636"/>
        <w:spacing w:after="0" w:line="226" w:lineRule="auto"/>
        <w:tabs>
          <w:tab w:leader="none" w:pos="999"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Stock Ownership Guidelines for Non-Employee Directors</w:t>
      </w:r>
      <w:r>
        <w:rPr>
          <w:rFonts w:ascii="Times New Roman" w:cs="Times New Roman" w:eastAsia="Times New Roman" w:hAnsi="Times New Roman"/>
          <w:sz w:val="21"/>
          <w:szCs w:val="21"/>
          <w:color w:val="auto"/>
        </w:rPr>
        <w:t>. Effective after the 2022 annual meeting of stockholders,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each Non-Employee Director must own fully vested shares having a fair market value of at least three times the director’s annual cash retainer by the later of the fifth anniversary of the date of adoption of the guidelines (such fifth anniversary being May 1, 2027) or the fifth anniversary of the date of the Non-Employee Director’s initial appointment to the Board.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83"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21"/>
          <w:szCs w:val="21"/>
          <w:b w:val="1"/>
          <w:bCs w:val="1"/>
          <w:color w:val="auto"/>
        </w:rPr>
        <w:t>Exhibit 10.13</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KVH INDUSTRIES, INC.</w:t>
      </w:r>
    </w:p>
    <w:p>
      <w:pPr>
        <w:jc w:val="center"/>
        <w:spacing w:after="0"/>
        <w:rPr>
          <w:sz w:val="20"/>
          <w:szCs w:val="20"/>
          <w:color w:val="auto"/>
        </w:rPr>
      </w:pPr>
      <w:r>
        <w:rPr>
          <w:rFonts w:ascii="Times New Roman" w:cs="Times New Roman" w:eastAsia="Times New Roman" w:hAnsi="Times New Roman"/>
          <w:sz w:val="21"/>
          <w:szCs w:val="21"/>
          <w:b w:val="1"/>
          <w:bCs w:val="1"/>
          <w:color w:val="auto"/>
        </w:rPr>
        <w:t>INDEMNIFICATION AGREEMENT</w:t>
      </w:r>
    </w:p>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THIS INDEMNIFICATION AGREEMENT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is made and entered into as of ________ __, 202_ between</w:t>
      </w:r>
    </w:p>
    <w:p>
      <w:pPr>
        <w:spacing w:after="0"/>
        <w:rPr>
          <w:sz w:val="20"/>
          <w:szCs w:val="20"/>
          <w:color w:val="auto"/>
        </w:rPr>
      </w:pPr>
      <w:r>
        <w:rPr>
          <w:rFonts w:ascii="Times New Roman" w:cs="Times New Roman" w:eastAsia="Times New Roman" w:hAnsi="Times New Roman"/>
          <w:sz w:val="21"/>
          <w:szCs w:val="21"/>
          <w:color w:val="auto"/>
        </w:rPr>
        <w:t>KVH Industries, Inc., a Delaware 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and ___________ (“</w:t>
      </w:r>
      <w:r>
        <w:rPr>
          <w:rFonts w:ascii="Times New Roman" w:cs="Times New Roman" w:eastAsia="Times New Roman" w:hAnsi="Times New Roman"/>
          <w:sz w:val="21"/>
          <w:szCs w:val="21"/>
          <w:b w:val="1"/>
          <w:bCs w:val="1"/>
          <w:color w:val="auto"/>
        </w:rPr>
        <w:t>Indemnitee</w:t>
      </w:r>
      <w:r>
        <w:rPr>
          <w:rFonts w:ascii="Times New Roman" w:cs="Times New Roman" w:eastAsia="Times New Roman" w:hAnsi="Times New Roman"/>
          <w:sz w:val="21"/>
          <w:szCs w:val="21"/>
          <w:color w:val="auto"/>
        </w:rPr>
        <w:t>”).</w:t>
      </w:r>
    </w:p>
    <w:p>
      <w:pPr>
        <w:spacing w:after="0" w:line="151" w:lineRule="exact"/>
        <w:rPr>
          <w:sz w:val="20"/>
          <w:szCs w:val="20"/>
          <w:color w:val="auto"/>
        </w:rPr>
      </w:pPr>
    </w:p>
    <w:p>
      <w:pPr>
        <w:jc w:val="both"/>
        <w:ind w:right="60" w:firstLine="631"/>
        <w:spacing w:after="0" w:line="231"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highly competent persons have become more reluctant to serve corporations as directors or officers or in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capacities unless they are provided with adequate protection through insurance and adequate indemnification against inordinate risks of claims and actions against them arising out of their service to and activities on behalf of the corporation;</w:t>
      </w:r>
    </w:p>
    <w:p>
      <w:pPr>
        <w:spacing w:after="0" w:line="144" w:lineRule="exact"/>
        <w:rPr>
          <w:sz w:val="20"/>
          <w:szCs w:val="20"/>
          <w:color w:val="auto"/>
        </w:rPr>
      </w:pPr>
    </w:p>
    <w:p>
      <w:pPr>
        <w:ind w:right="100" w:firstLine="631"/>
        <w:spacing w:after="0" w:line="218"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Board of Directors of the Company (the “</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has determined that, in order to attract and retain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qualified individuals, the Company will attempt to maintain on an ongoing basis, at its sole expense, liability insurance to protect persons serving the Company and its subsidiaries from certain liabilities; given current market conditions and trends, such insurance may be available to the Company in the future only at higher premiums and with more exclusions; and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corporation or business enterprise itself;</w:t>
      </w:r>
    </w:p>
    <w:p>
      <w:pPr>
        <w:spacing w:after="0" w:line="147" w:lineRule="exact"/>
        <w:rPr>
          <w:sz w:val="20"/>
          <w:szCs w:val="20"/>
          <w:color w:val="auto"/>
        </w:rPr>
      </w:pPr>
    </w:p>
    <w:p>
      <w:pPr>
        <w:ind w:right="80" w:firstLine="631"/>
        <w:spacing w:after="0" w:line="220"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Certificate of Incorporation of the Company (the “</w:t>
      </w:r>
      <w:r>
        <w:rPr>
          <w:rFonts w:ascii="Times New Roman" w:cs="Times New Roman" w:eastAsia="Times New Roman" w:hAnsi="Times New Roman"/>
          <w:sz w:val="21"/>
          <w:szCs w:val="21"/>
          <w:b w:val="1"/>
          <w:bCs w:val="1"/>
          <w:color w:val="auto"/>
        </w:rPr>
        <w:t>Certificate of Incorporation</w:t>
      </w:r>
      <w:r>
        <w:rPr>
          <w:rFonts w:ascii="Times New Roman" w:cs="Times New Roman" w:eastAsia="Times New Roman" w:hAnsi="Times New Roman"/>
          <w:sz w:val="21"/>
          <w:szCs w:val="21"/>
          <w:color w:val="auto"/>
        </w:rPr>
        <w:t>”) and the Bylaws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(the “</w:t>
      </w:r>
      <w:r>
        <w:rPr>
          <w:rFonts w:ascii="Times New Roman" w:cs="Times New Roman" w:eastAsia="Times New Roman" w:hAnsi="Times New Roman"/>
          <w:sz w:val="21"/>
          <w:szCs w:val="21"/>
          <w:b w:val="1"/>
          <w:bCs w:val="1"/>
          <w:color w:val="auto"/>
        </w:rPr>
        <w:t>Bylaws</w:t>
      </w:r>
      <w:r>
        <w:rPr>
          <w:rFonts w:ascii="Times New Roman" w:cs="Times New Roman" w:eastAsia="Times New Roman" w:hAnsi="Times New Roman"/>
          <w:sz w:val="21"/>
          <w:szCs w:val="21"/>
          <w:color w:val="auto"/>
        </w:rPr>
        <w:t>”) require the Company to provide indemnification of the officers and directors of the Company; Indemnitee may be entitled to indemnification pursuant to the General Corporation Law of the State of Delaware (“</w:t>
      </w:r>
      <w:r>
        <w:rPr>
          <w:rFonts w:ascii="Times New Roman" w:cs="Times New Roman" w:eastAsia="Times New Roman" w:hAnsi="Times New Roman"/>
          <w:sz w:val="21"/>
          <w:szCs w:val="21"/>
          <w:b w:val="1"/>
          <w:bCs w:val="1"/>
          <w:color w:val="auto"/>
        </w:rPr>
        <w:t>DGCL</w:t>
      </w:r>
      <w:r>
        <w:rPr>
          <w:rFonts w:ascii="Times New Roman" w:cs="Times New Roman" w:eastAsia="Times New Roman" w:hAnsi="Times New Roman"/>
          <w:sz w:val="21"/>
          <w:szCs w:val="21"/>
          <w:color w:val="auto"/>
        </w:rPr>
        <w:t>”); and the Certificate of Incorporation, the Bylaws and the DGCL expressly provide that the indemnification provisions set forth therein are not exclusive, and thereby contemplate that contracts may be entered into between the Company and members of the Board, officers and other persons with respect to indemnification;</w:t>
      </w:r>
    </w:p>
    <w:p>
      <w:pPr>
        <w:spacing w:after="0" w:line="144" w:lineRule="exact"/>
        <w:rPr>
          <w:sz w:val="20"/>
          <w:szCs w:val="20"/>
          <w:color w:val="auto"/>
        </w:rPr>
      </w:pPr>
    </w:p>
    <w:p>
      <w:pPr>
        <w:ind w:right="220" w:firstLine="631"/>
        <w:spacing w:after="0" w:line="246"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uncertainties relating to such insurance and indemnification have increased the difficulty of attracting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retaining such persons;</w:t>
      </w:r>
    </w:p>
    <w:p>
      <w:pPr>
        <w:spacing w:after="0" w:line="136" w:lineRule="exact"/>
        <w:rPr>
          <w:sz w:val="20"/>
          <w:szCs w:val="20"/>
          <w:color w:val="auto"/>
        </w:rPr>
      </w:pPr>
    </w:p>
    <w:p>
      <w:pPr>
        <w:jc w:val="both"/>
        <w:ind w:right="100" w:firstLine="631"/>
        <w:spacing w:after="0" w:line="231"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Board has determined that the increased difficulty in attracting and retaining such persons is detrimental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best interests of the Company’s stockholders and that the Company should act to assure such persons that there will be increased certainty of such protection in the future;</w:t>
      </w:r>
    </w:p>
    <w:p>
      <w:pPr>
        <w:spacing w:after="0" w:line="144" w:lineRule="exact"/>
        <w:rPr>
          <w:sz w:val="20"/>
          <w:szCs w:val="20"/>
          <w:color w:val="auto"/>
        </w:rPr>
      </w:pPr>
    </w:p>
    <w:p>
      <w:pPr>
        <w:jc w:val="both"/>
        <w:ind w:right="300" w:firstLine="631"/>
        <w:spacing w:after="0" w:line="231"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it is reasonable, prudent and necessary for the Company contractually to obligate itself to indemnify, and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advance expenses on behalf of, such persons to the fullest extent permitted by applicable law so that they will serve or continue to serve the Company free from undue concern that they will not be so indemnified;</w:t>
      </w:r>
    </w:p>
    <w:p>
      <w:pPr>
        <w:spacing w:after="0" w:line="144" w:lineRule="exact"/>
        <w:rPr>
          <w:sz w:val="20"/>
          <w:szCs w:val="20"/>
          <w:color w:val="auto"/>
        </w:rPr>
      </w:pPr>
    </w:p>
    <w:p>
      <w:pPr>
        <w:ind w:firstLine="631"/>
        <w:spacing w:after="0" w:line="231"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this Agreement is a supplement to and in furtherance of the Certificate of Incorporation and the Bylaws and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resolutions adopted pursuant thereto, and shall not be deemed a substitute therefor, nor to diminish or abrogate any rights of Indemnitee thereunder; and</w:t>
      </w:r>
    </w:p>
    <w:p>
      <w:pPr>
        <w:spacing w:after="0" w:line="144" w:lineRule="exact"/>
        <w:rPr>
          <w:sz w:val="20"/>
          <w:szCs w:val="20"/>
          <w:color w:val="auto"/>
        </w:rPr>
      </w:pPr>
    </w:p>
    <w:p>
      <w:pPr>
        <w:ind w:right="740" w:firstLine="631"/>
        <w:spacing w:after="0" w:line="246"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Indemnitee may not be willing to serve or continue to serve as a director or an officer without adequate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protection, and the Company desires Indemnitee to serve in such</w:t>
      </w:r>
    </w:p>
    <w:p>
      <w:pPr>
        <w:sectPr>
          <w:pgSz w:w="11900" w:h="16838" w:orient="portrait"/>
          <w:cols w:equalWidth="0" w:num="1">
            <w:col w:w="11240"/>
          </w:cols>
          <w:pgMar w:left="320" w:top="1357" w:right="339" w:bottom="1440" w:gutter="0" w:footer="0" w:header="0"/>
        </w:sectPr>
      </w:pPr>
    </w:p>
    <w:bookmarkStart w:id="88" w:name="page89"/>
    <w:bookmarkEnd w:id="88"/>
    <w:p>
      <w:pPr>
        <w:ind w:right="20"/>
        <w:spacing w:after="0" w:line="242" w:lineRule="auto"/>
        <w:rPr>
          <w:sz w:val="20"/>
          <w:szCs w:val="20"/>
          <w:color w:val="auto"/>
        </w:rPr>
      </w:pPr>
      <w:r>
        <w:rPr>
          <w:rFonts w:ascii="Times New Roman" w:cs="Times New Roman" w:eastAsia="Times New Roman" w:hAnsi="Times New Roman"/>
          <w:sz w:val="21"/>
          <w:szCs w:val="21"/>
          <w:color w:val="auto"/>
        </w:rPr>
        <w:t>capacity; and Indemnitee is willing to serve or continue to serve and to take on additional service for or on behalf of the Company on the condition that he or she be indemnified in accordance with the terms hereof,</w:t>
      </w:r>
    </w:p>
    <w:p>
      <w:pPr>
        <w:spacing w:after="0" w:line="140" w:lineRule="exact"/>
        <w:rPr>
          <w:sz w:val="20"/>
          <w:szCs w:val="20"/>
          <w:color w:val="auto"/>
        </w:rPr>
      </w:pPr>
    </w:p>
    <w:p>
      <w:pPr>
        <w:ind w:right="300" w:firstLine="631"/>
        <w:spacing w:after="0" w:line="246" w:lineRule="auto"/>
        <w:rPr>
          <w:sz w:val="20"/>
          <w:szCs w:val="20"/>
          <w:color w:val="auto"/>
        </w:rPr>
      </w:pPr>
      <w:r>
        <w:rPr>
          <w:rFonts w:ascii="Times New Roman" w:cs="Times New Roman" w:eastAsia="Times New Roman" w:hAnsi="Times New Roman"/>
          <w:sz w:val="21"/>
          <w:szCs w:val="21"/>
          <w:b w:val="1"/>
          <w:bCs w:val="1"/>
          <w:color w:val="auto"/>
        </w:rPr>
        <w:t>NOW, THEREFORE</w:t>
      </w:r>
      <w:r>
        <w:rPr>
          <w:rFonts w:ascii="Times New Roman" w:cs="Times New Roman" w:eastAsia="Times New Roman" w:hAnsi="Times New Roman"/>
          <w:sz w:val="21"/>
          <w:szCs w:val="21"/>
          <w:color w:val="auto"/>
        </w:rPr>
        <w:t>, in consideration of Indemnitee’s agreement to serve as a director or officer of the Company on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date hereof, the parties hereto agree as follows:</w:t>
      </w:r>
    </w:p>
    <w:p>
      <w:pPr>
        <w:spacing w:after="0" w:line="140" w:lineRule="exact"/>
        <w:rPr>
          <w:sz w:val="20"/>
          <w:szCs w:val="20"/>
          <w:color w:val="auto"/>
        </w:rPr>
      </w:pPr>
    </w:p>
    <w:p>
      <w:pPr>
        <w:ind w:left="1260" w:hanging="624"/>
        <w:spacing w:after="0"/>
        <w:tabs>
          <w:tab w:leader="none" w:pos="126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Indemnity of Indemnitee</w:t>
      </w:r>
      <w:r>
        <w:rPr>
          <w:rFonts w:ascii="Times New Roman" w:cs="Times New Roman" w:eastAsia="Times New Roman" w:hAnsi="Times New Roman"/>
          <w:sz w:val="21"/>
          <w:szCs w:val="21"/>
          <w:color w:val="auto"/>
        </w:rPr>
        <w:t>.</w:t>
      </w:r>
    </w:p>
    <w:p>
      <w:pPr>
        <w:spacing w:after="0" w:line="179" w:lineRule="exact"/>
        <w:rPr>
          <w:rFonts w:ascii="Times New Roman" w:cs="Times New Roman" w:eastAsia="Times New Roman" w:hAnsi="Times New Roman"/>
          <w:sz w:val="21"/>
          <w:szCs w:val="21"/>
          <w:color w:val="auto"/>
        </w:rPr>
      </w:pPr>
    </w:p>
    <w:p>
      <w:pPr>
        <w:ind w:right="120" w:firstLine="1188"/>
        <w:spacing w:after="0" w:line="213" w:lineRule="auto"/>
        <w:tabs>
          <w:tab w:leader="none" w:pos="1889"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Proceedings Other Than Proceedings by or in the Right of the Company</w:t>
      </w:r>
      <w:r>
        <w:rPr>
          <w:rFonts w:ascii="Times New Roman" w:cs="Times New Roman" w:eastAsia="Times New Roman" w:hAnsi="Times New Roman"/>
          <w:sz w:val="21"/>
          <w:szCs w:val="21"/>
          <w:color w:val="auto"/>
        </w:rPr>
        <w:t xml:space="preserve">. Indemnitee shall be entitled to the rights of indemnification provided in this </w:t>
      </w:r>
      <w:r>
        <w:rPr>
          <w:rFonts w:ascii="Times New Roman" w:cs="Times New Roman" w:eastAsia="Times New Roman" w:hAnsi="Times New Roman"/>
          <w:sz w:val="21"/>
          <w:szCs w:val="21"/>
          <w:u w:val="single" w:color="auto"/>
          <w:color w:val="auto"/>
        </w:rPr>
        <w:t>Section 1(a)</w:t>
      </w:r>
      <w:r>
        <w:rPr>
          <w:rFonts w:ascii="Times New Roman" w:cs="Times New Roman" w:eastAsia="Times New Roman" w:hAnsi="Times New Roman"/>
          <w:sz w:val="21"/>
          <w:szCs w:val="21"/>
          <w:color w:val="auto"/>
        </w:rPr>
        <w:t xml:space="preserve"> if, by reason of such person’s Corporate Status (as hereinafter defined), the Indemnitee is, or is threatened to be made, a party to or participant (as a witness, deponent or otherwise) in any Proceeding (as hereinafter defined) other than a Proceeding by or in the right of the Company. Pursuant to this </w:t>
      </w:r>
      <w:r>
        <w:rPr>
          <w:rFonts w:ascii="Times New Roman" w:cs="Times New Roman" w:eastAsia="Times New Roman" w:hAnsi="Times New Roman"/>
          <w:sz w:val="21"/>
          <w:szCs w:val="21"/>
          <w:u w:val="single" w:color="auto"/>
          <w:color w:val="auto"/>
        </w:rPr>
        <w:t>Section 1(a)</w:t>
      </w:r>
      <w:r>
        <w:rPr>
          <w:rFonts w:ascii="Times New Roman" w:cs="Times New Roman" w:eastAsia="Times New Roman" w:hAnsi="Times New Roman"/>
          <w:sz w:val="21"/>
          <w:szCs w:val="21"/>
          <w:color w:val="auto"/>
        </w:rPr>
        <w:t>, Indemnitee shall be indemnified against all Expenses (as hereinafter defined), judgments, penalties, fines, excise taxes and amounts paid in settlement (including all interest, assessments and other charges paid or payable in connection with or in respect of such Expenses, judgments, penalties, fines, excise taxes and amounts paid in settlement) actually and reasonably incurred by such person, or on such person’s behalf, in connection with such Proceeding or any claim, issue or matter therein, if the Indemnitee acted in good faith and in a manner the Indemnitee reasonably believed to be in or not opposed to the best interests of the Company, and with respect to any criminal Proceeding, had no reasonable cause to believe the Indemnitee’s conduct was unlawful. If (i) Indemnitee has or had a Corporate Status with respect to an Enterprise (as hereinafter defined) that is an employee benefit plan and (ii) Indemnitee acts in good faith and in a manner Indemnitee reasonably believes to be in the interest of the participants and beneficiaries of the employee benefit plan, Indemnitee shall be deemed to have acted in a manner not opposed to the best interests of the Company.</w:t>
      </w:r>
    </w:p>
    <w:p>
      <w:pPr>
        <w:spacing w:after="0" w:line="158" w:lineRule="exact"/>
        <w:rPr>
          <w:rFonts w:ascii="Times New Roman" w:cs="Times New Roman" w:eastAsia="Times New Roman" w:hAnsi="Times New Roman"/>
          <w:sz w:val="21"/>
          <w:szCs w:val="21"/>
          <w:color w:val="auto"/>
        </w:rPr>
      </w:pPr>
    </w:p>
    <w:p>
      <w:pPr>
        <w:ind w:firstLine="1188"/>
        <w:spacing w:after="0" w:line="216" w:lineRule="auto"/>
        <w:tabs>
          <w:tab w:leader="none" w:pos="1888"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Proceedings by or in the Right of the Company</w:t>
      </w:r>
      <w:r>
        <w:rPr>
          <w:rFonts w:ascii="Times New Roman" w:cs="Times New Roman" w:eastAsia="Times New Roman" w:hAnsi="Times New Roman"/>
          <w:sz w:val="21"/>
          <w:szCs w:val="21"/>
          <w:color w:val="auto"/>
        </w:rPr>
        <w:t xml:space="preserve">. Indemnitee shall be entitled to the rights of indemnification provided in this </w:t>
      </w:r>
      <w:r>
        <w:rPr>
          <w:rFonts w:ascii="Times New Roman" w:cs="Times New Roman" w:eastAsia="Times New Roman" w:hAnsi="Times New Roman"/>
          <w:sz w:val="21"/>
          <w:szCs w:val="21"/>
          <w:u w:val="single" w:color="auto"/>
          <w:color w:val="auto"/>
        </w:rPr>
        <w:t>Section 1(b)</w:t>
      </w:r>
      <w:r>
        <w:rPr>
          <w:rFonts w:ascii="Times New Roman" w:cs="Times New Roman" w:eastAsia="Times New Roman" w:hAnsi="Times New Roman"/>
          <w:sz w:val="21"/>
          <w:szCs w:val="21"/>
          <w:color w:val="auto"/>
        </w:rPr>
        <w:t xml:space="preserve"> if, by reason of such person’s Corporate Status, the Indemnitee is, or is threatened to be made, a party to or participant in any Proceeding brought by or in the right of the Company. Pursuant to this </w:t>
      </w:r>
      <w:r>
        <w:rPr>
          <w:rFonts w:ascii="Times New Roman" w:cs="Times New Roman" w:eastAsia="Times New Roman" w:hAnsi="Times New Roman"/>
          <w:sz w:val="21"/>
          <w:szCs w:val="21"/>
          <w:u w:val="single" w:color="auto"/>
          <w:color w:val="auto"/>
        </w:rPr>
        <w:t>Section 1(b)</w:t>
      </w:r>
      <w:r>
        <w:rPr>
          <w:rFonts w:ascii="Times New Roman" w:cs="Times New Roman" w:eastAsia="Times New Roman" w:hAnsi="Times New Roman"/>
          <w:sz w:val="21"/>
          <w:szCs w:val="21"/>
          <w:color w:val="auto"/>
        </w:rPr>
        <w:t xml:space="preserve">, Indemnitee shall be indemnified against all Expenses actually and reasonably incurred by the Indemnitee, or on the Indemnitee’s behalf, in connection with such Proceeding if the Indemnitee acted in good faith and in a manner the Indemnitee reasonably believed to be in or not opposed to the best interests of the Company;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if applicable law so provides, no indemnification against such Expenses shall be made in respect of any claim, issue or matter in such Proceeding as to which Indemnitee shall have been finally adjudged by a court to be liable to the Company, unless and only to the extent that the Court of Chancery of the State of Delaware or any court in which such Proceeding was brought shall determine that such indemnification may be made.</w:t>
      </w:r>
    </w:p>
    <w:p>
      <w:pPr>
        <w:spacing w:after="0" w:line="146" w:lineRule="exact"/>
        <w:rPr>
          <w:rFonts w:ascii="Times New Roman" w:cs="Times New Roman" w:eastAsia="Times New Roman" w:hAnsi="Times New Roman"/>
          <w:sz w:val="21"/>
          <w:szCs w:val="21"/>
          <w:color w:val="auto"/>
        </w:rPr>
      </w:pPr>
    </w:p>
    <w:p>
      <w:pPr>
        <w:ind w:firstLine="1188"/>
        <w:spacing w:after="0" w:line="217" w:lineRule="auto"/>
        <w:tabs>
          <w:tab w:leader="none" w:pos="1889"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 for Expenses of a Party Who is Wholly or Partly Successful</w:t>
      </w:r>
      <w:r>
        <w:rPr>
          <w:rFonts w:ascii="Times New Roman" w:cs="Times New Roman" w:eastAsia="Times New Roman" w:hAnsi="Times New Roman"/>
          <w:sz w:val="21"/>
          <w:szCs w:val="21"/>
          <w:color w:val="auto"/>
        </w:rPr>
        <w:t>. Notwithstanding any other provision of this Agreement, to the extent that Indemnitee was or is, by reason of such person’s Corporate Status, a party to or participant in and is successful, on the merits or otherwise, in any Proceeding or in defense of any claim, issue or matter therein, in whole or in part, such person shall be indemnified to the maximum extent permitted by law, as such may be amended from time to time, against all Expenses actually and reasonably incurred by such person or on such person’s behalf in connection therewith. If Indemnitee is not wholly successful in such Proceeding but is successful, on the merits or otherwise, as to one or more but less than all claims, issues or matters in such Proceeding, the Company shall indemnify and hold harmless the Indemnitee against all Expenses actually and reasonably incurred by such person or on such person’s behalf in connection with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20"/>
          </w:cols>
          <w:pgMar w:left="320" w:top="1361" w:right="359" w:bottom="1440" w:gutter="0" w:footer="0" w:header="0"/>
        </w:sectPr>
      </w:pPr>
    </w:p>
    <w:bookmarkStart w:id="89" w:name="page90"/>
    <w:bookmarkEnd w:id="89"/>
    <w:p>
      <w:pPr>
        <w:ind w:right="20"/>
        <w:spacing w:after="0" w:line="230" w:lineRule="auto"/>
        <w:rPr>
          <w:sz w:val="20"/>
          <w:szCs w:val="20"/>
          <w:color w:val="auto"/>
        </w:rPr>
      </w:pPr>
      <w:r>
        <w:rPr>
          <w:rFonts w:ascii="Times New Roman" w:cs="Times New Roman" w:eastAsia="Times New Roman" w:hAnsi="Times New Roman"/>
          <w:sz w:val="21"/>
          <w:szCs w:val="21"/>
          <w:color w:val="auto"/>
        </w:rPr>
        <w:t>successfully resolved claim, issue or matter. For purposes of this Section and without limitation, the termination of any claim, issue or matter in such a Proceeding by dismissal, with or without prejudice, shall be deemed, to the fullest extent permitted by law, to be a successful result as to such claim, issue or matter.</w:t>
      </w:r>
    </w:p>
    <w:p>
      <w:pPr>
        <w:spacing w:after="0" w:line="147" w:lineRule="exact"/>
        <w:rPr>
          <w:sz w:val="20"/>
          <w:szCs w:val="20"/>
          <w:color w:val="auto"/>
        </w:rPr>
      </w:pPr>
    </w:p>
    <w:p>
      <w:pPr>
        <w:ind w:firstLine="636"/>
        <w:spacing w:after="0" w:line="217" w:lineRule="auto"/>
        <w:tabs>
          <w:tab w:leader="none" w:pos="1262"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Additional Indemnity</w:t>
      </w:r>
      <w:r>
        <w:rPr>
          <w:rFonts w:ascii="Times New Roman" w:cs="Times New Roman" w:eastAsia="Times New Roman" w:hAnsi="Times New Roman"/>
          <w:sz w:val="21"/>
          <w:szCs w:val="21"/>
          <w:color w:val="auto"/>
        </w:rPr>
        <w:t xml:space="preserve">. In addition to, and without regard to any limitations on, the indemnification provided for in </w:t>
      </w:r>
      <w:r>
        <w:rPr>
          <w:rFonts w:ascii="Times New Roman" w:cs="Times New Roman" w:eastAsia="Times New Roman" w:hAnsi="Times New Roman"/>
          <w:sz w:val="21"/>
          <w:szCs w:val="21"/>
          <w:u w:val="single" w:color="auto"/>
          <w:color w:val="auto"/>
        </w:rPr>
        <w:t>Section 1</w:t>
      </w:r>
      <w:r>
        <w:rPr>
          <w:rFonts w:ascii="Times New Roman" w:cs="Times New Roman" w:eastAsia="Times New Roman" w:hAnsi="Times New Roman"/>
          <w:sz w:val="21"/>
          <w:szCs w:val="21"/>
          <w:color w:val="auto"/>
        </w:rPr>
        <w:t xml:space="preserve"> of this Agreement, the Company shall and hereby does indemnify and hold harmless Indemnitee against all Expenses, judgments, penalties, fines, excise taxes and amounts paid in settlement actually and reasonably incurred by such person or on such person’s behalf if, by reason of such person’s Corporate Status, such person is, or is threatened to be made, a party to or participant in any Proceeding (including a Proceeding by or in the right of the Company), including, without limitation, all liability arising out of the negligence or active or passive wrongdoing of Indemnitee. The only limitation that shall exist upon the Company’s obligations pursuant to this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shall be that the Company shall not be obligated to make any payment to Indemnitee that is finally determined (under the procedures, and subject to the presumptions, set forth in </w:t>
      </w:r>
      <w:r>
        <w:rPr>
          <w:rFonts w:ascii="Times New Roman" w:cs="Times New Roman" w:eastAsia="Times New Roman" w:hAnsi="Times New Roman"/>
          <w:sz w:val="21"/>
          <w:szCs w:val="21"/>
          <w:u w:val="single" w:color="auto"/>
          <w:color w:val="auto"/>
        </w:rPr>
        <w:t>Sections 7</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8</w:t>
      </w:r>
      <w:r>
        <w:rPr>
          <w:rFonts w:ascii="Times New Roman" w:cs="Times New Roman" w:eastAsia="Times New Roman" w:hAnsi="Times New Roman"/>
          <w:sz w:val="21"/>
          <w:szCs w:val="21"/>
          <w:color w:val="auto"/>
        </w:rPr>
        <w:t xml:space="preserve"> hereof) to be unlawful.</w:t>
      </w:r>
    </w:p>
    <w:p>
      <w:pPr>
        <w:spacing w:after="0" w:line="145" w:lineRule="exact"/>
        <w:rPr>
          <w:rFonts w:ascii="Times New Roman" w:cs="Times New Roman" w:eastAsia="Times New Roman" w:hAnsi="Times New Roman"/>
          <w:sz w:val="21"/>
          <w:szCs w:val="21"/>
          <w:color w:val="auto"/>
        </w:rPr>
      </w:pPr>
    </w:p>
    <w:p>
      <w:pPr>
        <w:ind w:left="1260" w:hanging="624"/>
        <w:spacing w:after="0"/>
        <w:tabs>
          <w:tab w:leader="none" w:pos="126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Contribution</w:t>
      </w:r>
      <w:r>
        <w:rPr>
          <w:rFonts w:ascii="Times New Roman" w:cs="Times New Roman" w:eastAsia="Times New Roman" w:hAnsi="Times New Roman"/>
          <w:sz w:val="21"/>
          <w:szCs w:val="21"/>
          <w:color w:val="auto"/>
        </w:rPr>
        <w:t>.</w:t>
      </w:r>
    </w:p>
    <w:p>
      <w:pPr>
        <w:spacing w:after="0" w:line="179" w:lineRule="exact"/>
        <w:rPr>
          <w:rFonts w:ascii="Times New Roman" w:cs="Times New Roman" w:eastAsia="Times New Roman" w:hAnsi="Times New Roman"/>
          <w:sz w:val="21"/>
          <w:szCs w:val="21"/>
          <w:color w:val="auto"/>
        </w:rPr>
      </w:pPr>
    </w:p>
    <w:p>
      <w:pPr>
        <w:ind w:firstLine="1188"/>
        <w:spacing w:after="0" w:line="215" w:lineRule="auto"/>
        <w:tabs>
          <w:tab w:leader="none" w:pos="1889"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Whether or not the indemnification provided in </w:t>
      </w:r>
      <w:r>
        <w:rPr>
          <w:rFonts w:ascii="Times New Roman" w:cs="Times New Roman" w:eastAsia="Times New Roman" w:hAnsi="Times New Roman"/>
          <w:sz w:val="21"/>
          <w:szCs w:val="21"/>
          <w:u w:val="single" w:color="auto"/>
          <w:color w:val="auto"/>
        </w:rPr>
        <w:t>Sections 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w:t>
      </w:r>
      <w:r>
        <w:rPr>
          <w:rFonts w:ascii="Times New Roman" w:cs="Times New Roman" w:eastAsia="Times New Roman" w:hAnsi="Times New Roman"/>
          <w:sz w:val="21"/>
          <w:szCs w:val="21"/>
          <w:color w:val="auto"/>
        </w:rPr>
        <w:t xml:space="preserve"> hereof is available in whole or in part for any reasons whatsoever, in respect of any threatened, pending or completed action, suit or proceeding in which any Enterprise is jointly liable with Indemnitee (or would be if joined in such action, suit or proceeding), the Company shall pay, in the first instance, the entire amount of any judgments, penalties, fines, excise taxes and amounts paid in settlement actually and reasonably incurred by Indemnitee or on Indemnitee’s behalf in such action, suit or proceeding without requiring Indemnitee to contribute to such payment, and the Company hereby waives and relinquishes (and shall cause any Enterprise it controls to waive and relinquish) any right of contribution it may have against Indemnitee. Without the prior consent of the Indemnitee, the Company shall not enter into (and shall cause any Enterprise it controls not to enter into) any settlement of any action, suit or proceeding in which any Enterprise is jointly liable with Indemnitee (or would be if joined in such action, suit or proceeding) unless such settlement provides for a full and final release of all claims asserted against Indemnitee without any admission of liability or other wrongdoing on the part of Indemnitee.</w:t>
      </w:r>
    </w:p>
    <w:p>
      <w:pPr>
        <w:spacing w:after="0" w:line="149" w:lineRule="exact"/>
        <w:rPr>
          <w:rFonts w:ascii="Times New Roman" w:cs="Times New Roman" w:eastAsia="Times New Roman" w:hAnsi="Times New Roman"/>
          <w:sz w:val="21"/>
          <w:szCs w:val="21"/>
          <w:color w:val="auto"/>
        </w:rPr>
      </w:pPr>
    </w:p>
    <w:p>
      <w:pPr>
        <w:ind w:right="80" w:firstLine="1188"/>
        <w:spacing w:after="0" w:line="213" w:lineRule="auto"/>
        <w:tabs>
          <w:tab w:leader="none" w:pos="1888"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diminishing or impairing the obligations of the Company set forth in the preceding subparagraph, if, for any reason, Indemnitee shall elect or be required to pay all or any portion of any judgments, penalties, fines, excise taxes or amounts paid in settlement actually and reasonably incurred by Indemnitee or on Indemnitee’s behalf in any threatened, pending or completed action, suit or proceeding in which any Enterprise is jointly liable with Indemnitee (or would be if joined in such action, suit or proceeding), the Company shall contribute to the amount of Expenses, judgments, penalties, fines, excise taxes and amounts paid in settlement actually and reasonably incurred by Indemnitee or on Indemnitee’s behalf and paid or payable by Indemnitee in proportion to the relative benefits received by the Enterprise and all directors, officers, employees, agents and fiduciaries of the Enterprise, other than Indemnitee, who are jointly liable with Indemnitee (or would be if joined in such action, suit or proceeding), on the one hand, and Indemnitee, on the other hand, from the transaction or events from which such action, suit or proceeding arose;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the proportion determined on the basis of relative benefit may, to the extent necessary to conform to law, be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further adjusted by reference to the relative fault of the Enterprise and all directors, officers, employees, agents and fiduciaries of the Enterprise other than Indemnitee who are jointly liable with Indemnitee (or would be if joined in such action, suit or proceeding), on the one hand, and Indemnitee, on the other hand, in connection with the transaction or events that resulted in such Expenses, judgments, penalties, fines, excise taxes or settlement amounts, as well as any other equitable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61" w:right="339" w:bottom="1440" w:gutter="0" w:footer="0" w:header="0"/>
        </w:sectPr>
      </w:pPr>
    </w:p>
    <w:bookmarkStart w:id="90" w:name="page91"/>
    <w:bookmarkEnd w:id="90"/>
    <w:p>
      <w:pPr>
        <w:ind w:right="260"/>
        <w:spacing w:after="0" w:line="221" w:lineRule="auto"/>
        <w:rPr>
          <w:sz w:val="20"/>
          <w:szCs w:val="20"/>
          <w:color w:val="auto"/>
        </w:rPr>
      </w:pPr>
      <w:r>
        <w:rPr>
          <w:rFonts w:ascii="Times New Roman" w:cs="Times New Roman" w:eastAsia="Times New Roman" w:hAnsi="Times New Roman"/>
          <w:sz w:val="21"/>
          <w:szCs w:val="21"/>
          <w:color w:val="auto"/>
        </w:rPr>
        <w:t>considerations which applicable law may require to be considered. The relative fault of the Enterprise and all directors, officers, employees, agents and fiduciaries of the Enterprise, other than Indemnitee, who are jointly liable with Indemnitee (or would be if joined in such action, suit or proceeding), on the one hand, and Indemnitee, on the other hand, shall be determined by reference to, among other things, the degree to which their actions were motivated by intent to gain personal profit or advantage, the degree to which their liability is primary or secondary and the degree to which their conduct is active or passive.</w:t>
      </w:r>
    </w:p>
    <w:p>
      <w:pPr>
        <w:spacing w:after="0" w:line="150" w:lineRule="exact"/>
        <w:rPr>
          <w:sz w:val="20"/>
          <w:szCs w:val="20"/>
          <w:color w:val="auto"/>
        </w:rPr>
      </w:pPr>
    </w:p>
    <w:p>
      <w:pPr>
        <w:ind w:right="400" w:firstLine="1188"/>
        <w:spacing w:after="0" w:line="230" w:lineRule="auto"/>
        <w:tabs>
          <w:tab w:leader="none" w:pos="1889"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hereby agrees, to the fullest extent permissible under applicable law, to fully indemnify and hold Indemnitee harmless from any claims of contribution which may be brought by directors, officers, employees, agents or fiduciaries of any Enterprise, other than Indemnitee, who may be jointly liable with Indemnitee with respect to such a claim.</w:t>
      </w:r>
    </w:p>
    <w:p>
      <w:pPr>
        <w:spacing w:after="0" w:line="146" w:lineRule="exact"/>
        <w:rPr>
          <w:rFonts w:ascii="Times New Roman" w:cs="Times New Roman" w:eastAsia="Times New Roman" w:hAnsi="Times New Roman"/>
          <w:sz w:val="21"/>
          <w:szCs w:val="21"/>
          <w:color w:val="auto"/>
        </w:rPr>
      </w:pPr>
    </w:p>
    <w:p>
      <w:pPr>
        <w:ind w:right="40" w:firstLine="1188"/>
        <w:spacing w:after="0" w:line="215" w:lineRule="auto"/>
        <w:tabs>
          <w:tab w:leader="none" w:pos="1888"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fullest extent permissible under applicable law and without diminishing or impairing the obligations of the Company set forth in the preceding subparagraphs of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if the indemnification provided for in this Agreement is unavailable to Indemnitee for any reason whatsoever, the Company, in lieu of indemnifying Indemnitee, shall contribute to the amount incurred by Indemnitee, whether for judgments, penalties, fines,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Enterprise (and its directors, officers, employees, agents and fiduciaries other than Indemnitee) and Indemnitee as a result of the event(s) and/or transaction(s) giving cause to such Proceeding and/or (ii) the relative fault of the Enterprise (and its directors, officers, employees, agents and fiduciaries other than Indemnitee) and Indemnitee in connection with such event(s) and/or transaction(s).</w:t>
      </w:r>
    </w:p>
    <w:p>
      <w:pPr>
        <w:spacing w:after="0" w:line="149" w:lineRule="exact"/>
        <w:rPr>
          <w:rFonts w:ascii="Times New Roman" w:cs="Times New Roman" w:eastAsia="Times New Roman" w:hAnsi="Times New Roman"/>
          <w:sz w:val="21"/>
          <w:szCs w:val="21"/>
          <w:color w:val="auto"/>
        </w:rPr>
      </w:pPr>
    </w:p>
    <w:p>
      <w:pPr>
        <w:jc w:val="both"/>
        <w:ind w:right="120" w:firstLine="636"/>
        <w:spacing w:after="0" w:line="225" w:lineRule="auto"/>
        <w:tabs>
          <w:tab w:leader="none" w:pos="1262"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 for Expenses of a Witness</w:t>
      </w:r>
      <w:r>
        <w:rPr>
          <w:rFonts w:ascii="Times New Roman" w:cs="Times New Roman" w:eastAsia="Times New Roman" w:hAnsi="Times New Roman"/>
          <w:sz w:val="21"/>
          <w:szCs w:val="21"/>
          <w:color w:val="auto"/>
        </w:rPr>
        <w:t>. Notwithstanding any other provision of this Agreement, to the extent that Indemnitee is, by reason of such person’s Corporate Status, a witness, or is made (or asked) to respond to discovery requests, in any Proceeding to which Indemnitee is not a party, such person shall be indemnified against all Expenses actually and reasonably incurred by such person or on such person’s behalf in connection therewith.</w:t>
      </w:r>
    </w:p>
    <w:p>
      <w:pPr>
        <w:spacing w:after="0" w:line="145" w:lineRule="exact"/>
        <w:rPr>
          <w:rFonts w:ascii="Times New Roman" w:cs="Times New Roman" w:eastAsia="Times New Roman" w:hAnsi="Times New Roman"/>
          <w:sz w:val="21"/>
          <w:szCs w:val="21"/>
          <w:color w:val="auto"/>
        </w:rPr>
      </w:pPr>
    </w:p>
    <w:p>
      <w:pPr>
        <w:ind w:right="40" w:firstLine="636"/>
        <w:spacing w:after="0" w:line="216" w:lineRule="auto"/>
        <w:tabs>
          <w:tab w:leader="none" w:pos="1262"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Advancement of Expenses</w:t>
      </w:r>
      <w:r>
        <w:rPr>
          <w:rFonts w:ascii="Times New Roman" w:cs="Times New Roman" w:eastAsia="Times New Roman" w:hAnsi="Times New Roman"/>
          <w:sz w:val="21"/>
          <w:szCs w:val="21"/>
          <w:color w:val="auto"/>
        </w:rPr>
        <w:t xml:space="preserve">. Notwithstanding any other provision of this Agreement, the Company shall advance all Expenses incurred by or on behalf of Indemnitee in connection with any Proceeding by reason of Indemnitee’s Corporate Status within thirty (30) days after the receipt by the Company of a statement or statements from Indemnitee requesting such advance or advances from time to time, whether prior to or after final disposition of such Proceeding. Such statement or statements shall reasonably evidence the Expenses incurred by Indemnitee and shall include or be preceded or accompanied by a written undertaking by or on behalf of Indemnitee to repay any Expenses advanced if it shall ultimately be determined that Indemnitee is not entitled to be indemnified against such Expenses. Any advances and undertakings to repay pursuant to this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shall be unsecured and interest-free and not conditioned on Indemnitee’s ability to repay such advances. This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shall not apply to any claim made by Indemnitee for which indemnity is excluded pursuant to </w:t>
      </w: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w:t>
      </w:r>
    </w:p>
    <w:p>
      <w:pPr>
        <w:spacing w:after="0" w:line="146" w:lineRule="exact"/>
        <w:rPr>
          <w:rFonts w:ascii="Times New Roman" w:cs="Times New Roman" w:eastAsia="Times New Roman" w:hAnsi="Times New Roman"/>
          <w:sz w:val="21"/>
          <w:szCs w:val="21"/>
          <w:color w:val="auto"/>
        </w:rPr>
      </w:pPr>
    </w:p>
    <w:p>
      <w:pPr>
        <w:ind w:left="1260" w:hanging="624"/>
        <w:spacing w:after="0"/>
        <w:tabs>
          <w:tab w:leader="none" w:pos="126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Procedures for Notification and Defense of Claim</w:t>
      </w:r>
      <w:r>
        <w:rPr>
          <w:rFonts w:ascii="Times New Roman" w:cs="Times New Roman" w:eastAsia="Times New Roman" w:hAnsi="Times New Roman"/>
          <w:sz w:val="21"/>
          <w:szCs w:val="21"/>
          <w:color w:val="auto"/>
        </w:rPr>
        <w:t>.</w:t>
      </w:r>
    </w:p>
    <w:p>
      <w:pPr>
        <w:spacing w:after="0" w:line="179" w:lineRule="exact"/>
        <w:rPr>
          <w:rFonts w:ascii="Times New Roman" w:cs="Times New Roman" w:eastAsia="Times New Roman" w:hAnsi="Times New Roman"/>
          <w:sz w:val="21"/>
          <w:szCs w:val="21"/>
          <w:color w:val="auto"/>
        </w:rPr>
      </w:pPr>
    </w:p>
    <w:p>
      <w:pPr>
        <w:ind w:firstLine="1188"/>
        <w:spacing w:after="0" w:line="225" w:lineRule="auto"/>
        <w:tabs>
          <w:tab w:leader="none" w:pos="1889"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Indemnitee shall notify the Company in writing of any matter with respect to which Indemnitee intends to seek indemnification or advancement of Expenses promptly after the receipt by Indemnitee of notice thereof. The written notification to the Company shall include, in reasonable detail, a description of the nature of the Proceeding and the facts underlying the Proceeding. The failure by Indemnitee to notify the Company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61" w:right="339" w:bottom="1440" w:gutter="0" w:footer="0" w:header="0"/>
        </w:sectPr>
      </w:pPr>
    </w:p>
    <w:bookmarkStart w:id="91" w:name="page92"/>
    <w:bookmarkEnd w:id="91"/>
    <w:p>
      <w:pPr>
        <w:ind w:right="280"/>
        <w:spacing w:after="0" w:line="230" w:lineRule="auto"/>
        <w:rPr>
          <w:sz w:val="20"/>
          <w:szCs w:val="20"/>
          <w:color w:val="auto"/>
        </w:rPr>
      </w:pP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21"/>
          <w:szCs w:val="21"/>
          <w:u w:val="single" w:color="auto"/>
          <w:color w:val="auto"/>
        </w:rPr>
        <w:t>Section 6(a)</w:t>
      </w:r>
      <w:r>
        <w:rPr>
          <w:rFonts w:ascii="Times New Roman" w:cs="Times New Roman" w:eastAsia="Times New Roman" w:hAnsi="Times New Roman"/>
          <w:sz w:val="21"/>
          <w:szCs w:val="21"/>
          <w:color w:val="auto"/>
        </w:rPr>
        <w:t xml:space="preserve"> will not relieve the Company from any liability that it may have to Indemnitee hereunder or otherwise than under this Agreement, and any delay in so notifying the Company shall not constitute a waiver by Indemnitee of any rights hereunder, except to the extent that such failure or delay materially prejudices the Company.</w:t>
      </w:r>
    </w:p>
    <w:p>
      <w:pPr>
        <w:spacing w:after="0" w:line="147" w:lineRule="exact"/>
        <w:rPr>
          <w:sz w:val="20"/>
          <w:szCs w:val="20"/>
          <w:color w:val="auto"/>
        </w:rPr>
      </w:pPr>
    </w:p>
    <w:p>
      <w:pPr>
        <w:ind w:firstLine="1188"/>
        <w:spacing w:after="0" w:line="213" w:lineRule="auto"/>
        <w:tabs>
          <w:tab w:leader="none" w:pos="1888"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Company may be obligated to make any indemnity or advance Expenses in connection with a Proceeding, the Company shall be entitled to assume the defense of such Proceeding with counsel approved by Indemnitee, which approval shall not be unreasonably withheld, conditioned or delayed, upon the delivery to Indemnitee of written notice of its election to do so. After delivery of such notice, approval of such counsel by Indemnitee and the retention of such counsel by the Company, the Company will not be liable to Indemnitee for any fees or Expenses of counsel subsequently incurred by Indemnitee with respect to the same Proceeding. Notwithstanding the Company’s assumption of the defense of any such Proceeding, the Company shall be obligated to pay the fees and Expenses of Indemnitee’s separate counsel to the extent (i) the employment of separate counsel by Indemnitee is authorized by the Company, (ii) Indemnitee shall have reasonably concluded that there is a conflict of interest between the Company and Indemnitee in the conduct of the defense of the Proceeding, and the Company shall have received a written opinion addressed to the Company supporting such determination from qualified legal counsel, or (iii) the Company shall not have retained, within sixty (60) days after receipt of Indemnitee’s written notice of the Proceeding, or shall not continue to retain, counsel to defend such Proceeding. Regardless of any provision in this Agreement, Indemnitee shall have the right to employ counsel in any Proceeding at Indemnitee’s own expense. The Company shall not be entitled, without the consent of Indemnitee, to assume the defense of any claim brought by or in the right of the Company or as to which the foregoing clause (ii) shall apply.</w:t>
      </w:r>
    </w:p>
    <w:p>
      <w:pPr>
        <w:spacing w:after="0" w:line="154" w:lineRule="exact"/>
        <w:rPr>
          <w:rFonts w:ascii="Times New Roman" w:cs="Times New Roman" w:eastAsia="Times New Roman" w:hAnsi="Times New Roman"/>
          <w:sz w:val="21"/>
          <w:szCs w:val="21"/>
          <w:color w:val="auto"/>
        </w:rPr>
      </w:pPr>
    </w:p>
    <w:p>
      <w:pPr>
        <w:ind w:firstLine="1188"/>
        <w:spacing w:after="0" w:line="242" w:lineRule="auto"/>
        <w:tabs>
          <w:tab w:leader="none" w:pos="1889"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Indemnitee shall give the Company such information and cooperation in connection with the Proceeding as the Company shall reasonably request.</w:t>
      </w:r>
    </w:p>
    <w:p>
      <w:pPr>
        <w:spacing w:after="0" w:line="143" w:lineRule="exact"/>
        <w:rPr>
          <w:rFonts w:ascii="Times New Roman" w:cs="Times New Roman" w:eastAsia="Times New Roman" w:hAnsi="Times New Roman"/>
          <w:sz w:val="21"/>
          <w:szCs w:val="21"/>
          <w:color w:val="auto"/>
        </w:rPr>
      </w:pPr>
    </w:p>
    <w:p>
      <w:pPr>
        <w:jc w:val="both"/>
        <w:ind w:right="280" w:firstLine="1188"/>
        <w:spacing w:after="0" w:line="242" w:lineRule="auto"/>
        <w:tabs>
          <w:tab w:leader="none" w:pos="1888"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not be liable to indemnify Indemnitee for any settlement of any Proceeding (or any part thereof) effected without the Company’s prior written consent, which shall not be unreasonably withheld, conditioned or delayed.</w:t>
      </w:r>
    </w:p>
    <w:p>
      <w:pPr>
        <w:spacing w:after="0" w:line="143" w:lineRule="exact"/>
        <w:rPr>
          <w:rFonts w:ascii="Times New Roman" w:cs="Times New Roman" w:eastAsia="Times New Roman" w:hAnsi="Times New Roman"/>
          <w:sz w:val="21"/>
          <w:szCs w:val="21"/>
          <w:color w:val="auto"/>
        </w:rPr>
      </w:pPr>
    </w:p>
    <w:p>
      <w:pPr>
        <w:ind w:right="360" w:firstLine="1188"/>
        <w:spacing w:after="0" w:line="230" w:lineRule="auto"/>
        <w:tabs>
          <w:tab w:leader="none" w:pos="1889"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not settle any Proceeding (or any part thereof) in a manner that imposes any penalty or liability on Indemnitee not paid by the Company without Indemnitee’s prior written consent, which shall not be unreasonably withheld, conditioned or delayed.</w:t>
      </w:r>
    </w:p>
    <w:p>
      <w:pPr>
        <w:spacing w:after="0" w:line="146" w:lineRule="exact"/>
        <w:rPr>
          <w:rFonts w:ascii="Times New Roman" w:cs="Times New Roman" w:eastAsia="Times New Roman" w:hAnsi="Times New Roman"/>
          <w:sz w:val="21"/>
          <w:szCs w:val="21"/>
          <w:color w:val="auto"/>
        </w:rPr>
      </w:pPr>
    </w:p>
    <w:p>
      <w:pPr>
        <w:ind w:right="20" w:firstLine="636"/>
        <w:spacing w:after="0" w:line="225" w:lineRule="auto"/>
        <w:tabs>
          <w:tab w:leader="none" w:pos="1262"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Procedures and Presumptions for Determination of Entitlement to Indemnification</w:t>
      </w:r>
      <w:r>
        <w:rPr>
          <w:rFonts w:ascii="Times New Roman" w:cs="Times New Roman" w:eastAsia="Times New Roman" w:hAnsi="Times New Roman"/>
          <w:sz w:val="21"/>
          <w:szCs w:val="21"/>
          <w:color w:val="auto"/>
        </w:rPr>
        <w:t>. It is the intent of this Agreement to secure for Indemnitee rights of indemnity that are as favorable as may be permitted under the DGCL and public policy of the State of Delaware. Accordingly, the parties agree that the following procedures and presumptions shall apply in the event of any question as to whether Indemnitee is entitled to indemnification under this Agreement:</w:t>
      </w:r>
    </w:p>
    <w:p>
      <w:pPr>
        <w:spacing w:after="0" w:line="145" w:lineRule="exact"/>
        <w:rPr>
          <w:rFonts w:ascii="Times New Roman" w:cs="Times New Roman" w:eastAsia="Times New Roman" w:hAnsi="Times New Roman"/>
          <w:sz w:val="21"/>
          <w:szCs w:val="21"/>
          <w:color w:val="auto"/>
        </w:rPr>
      </w:pPr>
    </w:p>
    <w:p>
      <w:pPr>
        <w:ind w:right="260" w:firstLine="1188"/>
        <w:spacing w:after="0" w:line="219" w:lineRule="auto"/>
        <w:tabs>
          <w:tab w:leader="none" w:pos="1889"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The Secretary of the Company shall, promptly upon receipt of such a request for indemnification, advise the Board in writing that Indemnitee has requested indemnification. Notwithstanding the foregoing, any failure of Indemnitee to provide such a request to the Company, or to provide such a request in a timely fashion, shall not relieve the Company of any liability that it may have to Indemnitee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61" w:right="339" w:bottom="1440" w:gutter="0" w:footer="0" w:header="0"/>
        </w:sectPr>
      </w:pPr>
    </w:p>
    <w:bookmarkStart w:id="92" w:name="page93"/>
    <w:bookmarkEnd w:id="92"/>
    <w:p>
      <w:pPr>
        <w:ind w:right="360"/>
        <w:spacing w:after="0" w:line="244" w:lineRule="auto"/>
        <w:rPr>
          <w:sz w:val="20"/>
          <w:szCs w:val="20"/>
          <w:color w:val="auto"/>
        </w:rPr>
      </w:pPr>
      <w:r>
        <w:rPr>
          <w:rFonts w:ascii="Times New Roman" w:cs="Times New Roman" w:eastAsia="Times New Roman" w:hAnsi="Times New Roman"/>
          <w:sz w:val="21"/>
          <w:szCs w:val="21"/>
          <w:color w:val="auto"/>
        </w:rPr>
        <w:t xml:space="preserve">hereunder;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if any such failure actually prejudices the Company’s rights, the Company will be relieved of liability only to the extent of such prejudice. The Company will be entitled to participate in the Proceeding at its own Expense.</w:t>
      </w:r>
    </w:p>
    <w:p>
      <w:pPr>
        <w:spacing w:after="0" w:line="142" w:lineRule="exact"/>
        <w:rPr>
          <w:sz w:val="20"/>
          <w:szCs w:val="20"/>
          <w:color w:val="auto"/>
        </w:rPr>
      </w:pPr>
    </w:p>
    <w:p>
      <w:pPr>
        <w:ind w:right="60" w:firstLine="1188"/>
        <w:spacing w:after="0" w:line="216" w:lineRule="auto"/>
        <w:tabs>
          <w:tab w:leader="none" w:pos="1888"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receipt of a written request by Indemnitee for indemnification pursuant to the first sentence of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7(a)</w:t>
      </w:r>
      <w:r>
        <w:rPr>
          <w:rFonts w:ascii="Times New Roman" w:cs="Times New Roman" w:eastAsia="Times New Roman" w:hAnsi="Times New Roman"/>
          <w:sz w:val="21"/>
          <w:szCs w:val="21"/>
          <w:color w:val="auto"/>
        </w:rPr>
        <w:t xml:space="preserve"> hereof, a determination with respect to Indemnitee’s entitlement thereto shall be made in the specific case by one of the following four methods (which shall be at the election of the Board), provided that a Change of Control shall not have occurred: (1) by a majority vote of the Disinterested Directors (as hereinafter defined), even though less than a quorum, (2) by a committee of Disinterested Directors designated by a majority vote of the Disinterested Directors, even though less than a quorum, (3) if there are no Disinterested Directors or if the Disinterested Directors so direct, by Independent Counsel (as hereinafter defined) in a written opinion to the Board, a copy of which shall be delivered to Indemnitee, or (4) if so directed by the Board, by the stockholders of the Company. If a Change of Control shall have occurred, a determination with respect to Indemnitee’s entitlement to indemnification shall be made by Independent Counsel in a written opinion to the Board, a copy of which shall be delivered to Indemnitee.</w:t>
      </w:r>
    </w:p>
    <w:p>
      <w:pPr>
        <w:spacing w:after="0" w:line="146" w:lineRule="exact"/>
        <w:rPr>
          <w:rFonts w:ascii="Times New Roman" w:cs="Times New Roman" w:eastAsia="Times New Roman" w:hAnsi="Times New Roman"/>
          <w:sz w:val="21"/>
          <w:szCs w:val="21"/>
          <w:color w:val="auto"/>
        </w:rPr>
      </w:pPr>
    </w:p>
    <w:p>
      <w:pPr>
        <w:ind w:firstLine="1188"/>
        <w:spacing w:after="0" w:line="211" w:lineRule="auto"/>
        <w:tabs>
          <w:tab w:leader="none" w:pos="1889"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determination of entitlement to indemnification is to be made by Independent Counsel pursuant to </w:t>
      </w:r>
      <w:r>
        <w:rPr>
          <w:rFonts w:ascii="Times New Roman" w:cs="Times New Roman" w:eastAsia="Times New Roman" w:hAnsi="Times New Roman"/>
          <w:sz w:val="21"/>
          <w:szCs w:val="21"/>
          <w:u w:val="single" w:color="auto"/>
          <w:color w:val="auto"/>
        </w:rPr>
        <w:t>Section 7(b)</w:t>
      </w:r>
      <w:r>
        <w:rPr>
          <w:rFonts w:ascii="Times New Roman" w:cs="Times New Roman" w:eastAsia="Times New Roman" w:hAnsi="Times New Roman"/>
          <w:sz w:val="21"/>
          <w:szCs w:val="21"/>
          <w:color w:val="auto"/>
        </w:rPr>
        <w:t xml:space="preserve"> hereof, the Independent Counsel shall be selected as provided in this </w:t>
      </w:r>
      <w:r>
        <w:rPr>
          <w:rFonts w:ascii="Times New Roman" w:cs="Times New Roman" w:eastAsia="Times New Roman" w:hAnsi="Times New Roman"/>
          <w:sz w:val="21"/>
          <w:szCs w:val="21"/>
          <w:u w:val="single" w:color="auto"/>
          <w:color w:val="auto"/>
        </w:rPr>
        <w:t>Section 7(c)</w:t>
      </w:r>
      <w:r>
        <w:rPr>
          <w:rFonts w:ascii="Times New Roman" w:cs="Times New Roman" w:eastAsia="Times New Roman" w:hAnsi="Times New Roman"/>
          <w:sz w:val="21"/>
          <w:szCs w:val="21"/>
          <w:color w:val="auto"/>
        </w:rPr>
        <w:t xml:space="preserve">. If a Change of Control shall not have occurred, the Independent Counsel shall be selected by the Board, and the Company shall give written notice to Indemnitee advising Indemnitee of the identity of the Independent Counsel so selected. If a Change of Control shall have occurred, the Independent Counsel shall be selected by Indemnitee (unless Indemnitee shall request that such selection be made by the Board, in which event the preceding sentence shall apply), and Indemnitee shall give written notice to the Company advising it of the identity of the Independent Counsel so selected. In either event, Indemnitee or the Company, as the case may be, may, within ten (10) days after such written notice of selection shall have been given, deliver to the Company or to Indemnitee, as the case may be, a written objection to such selection;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such objection may be asserted only on the ground that the Independent Counsel so selected does not meet the requirements of “</w:t>
      </w:r>
      <w:r>
        <w:rPr>
          <w:rFonts w:ascii="Times New Roman" w:cs="Times New Roman" w:eastAsia="Times New Roman" w:hAnsi="Times New Roman"/>
          <w:sz w:val="21"/>
          <w:szCs w:val="21"/>
          <w:b w:val="1"/>
          <w:bCs w:val="1"/>
          <w:color w:val="auto"/>
        </w:rPr>
        <w:t>Independent Counsel</w:t>
      </w:r>
      <w:r>
        <w:rPr>
          <w:rFonts w:ascii="Times New Roman" w:cs="Times New Roman" w:eastAsia="Times New Roman" w:hAnsi="Times New Roman"/>
          <w:sz w:val="21"/>
          <w:szCs w:val="21"/>
          <w:color w:val="auto"/>
        </w:rPr>
        <w:t xml:space="preserve">” as defined in </w:t>
      </w:r>
      <w:r>
        <w:rPr>
          <w:rFonts w:ascii="Times New Roman" w:cs="Times New Roman" w:eastAsia="Times New Roman" w:hAnsi="Times New Roman"/>
          <w:sz w:val="21"/>
          <w:szCs w:val="21"/>
          <w:u w:val="single" w:color="auto"/>
          <w:color w:val="auto"/>
        </w:rPr>
        <w:t>Section 14</w:t>
      </w:r>
      <w:r>
        <w:rPr>
          <w:rFonts w:ascii="Times New Roman" w:cs="Times New Roman" w:eastAsia="Times New Roman" w:hAnsi="Times New Roman"/>
          <w:sz w:val="21"/>
          <w:szCs w:val="21"/>
          <w:color w:val="auto"/>
        </w:rPr>
        <w:t xml:space="preserve"> of this Agreement, and the objection shall set forth with particularity the factual basis of such assertion. Absent a proper and timely objection, the person so selected shall act as Independent Counsel. If a written objection is made and substantiated, the Independent Counsel selected may not serve as Independent Counsel unless and until such objection is withdrawn or a court has determined that such objection is without merit. If, within twenty (20) days after the later of (i) submission by Indemnitee of a written request for indemnification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7(a)</w:t>
      </w:r>
      <w:r>
        <w:rPr>
          <w:rFonts w:ascii="Times New Roman" w:cs="Times New Roman" w:eastAsia="Times New Roman" w:hAnsi="Times New Roman"/>
          <w:sz w:val="21"/>
          <w:szCs w:val="21"/>
          <w:color w:val="auto"/>
        </w:rPr>
        <w:t xml:space="preserve"> and (ii) the final disposition of the Proceeding relating to such request, no Independent Counsel shall have been selected and not objected to, either the Company or Indemnitee may petition the Court of Chancery of the State of Delaware or other court of competent jurisdiction for resolution of any objection which shall have been made by the Company or Indemnitee to the other’s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w:t>
      </w:r>
      <w:r>
        <w:rPr>
          <w:rFonts w:ascii="Times New Roman" w:cs="Times New Roman" w:eastAsia="Times New Roman" w:hAnsi="Times New Roman"/>
          <w:sz w:val="21"/>
          <w:szCs w:val="21"/>
          <w:u w:val="single" w:color="auto"/>
          <w:color w:val="auto"/>
        </w:rPr>
        <w:t>Section 7(b)</w:t>
      </w:r>
      <w:r>
        <w:rPr>
          <w:rFonts w:ascii="Times New Roman" w:cs="Times New Roman" w:eastAsia="Times New Roman" w:hAnsi="Times New Roman"/>
          <w:sz w:val="21"/>
          <w:szCs w:val="21"/>
          <w:color w:val="auto"/>
        </w:rPr>
        <w:t xml:space="preserve"> hereof. The Company shall pay any and all reasonable fees and expenses of Independent Counsel incurred by such Independent Counsel in connection with acting pursuant to </w:t>
      </w:r>
      <w:r>
        <w:rPr>
          <w:rFonts w:ascii="Times New Roman" w:cs="Times New Roman" w:eastAsia="Times New Roman" w:hAnsi="Times New Roman"/>
          <w:sz w:val="21"/>
          <w:szCs w:val="21"/>
          <w:u w:val="single" w:color="auto"/>
          <w:color w:val="auto"/>
        </w:rPr>
        <w:t>Section 7(b)</w:t>
      </w:r>
      <w:r>
        <w:rPr>
          <w:rFonts w:ascii="Times New Roman" w:cs="Times New Roman" w:eastAsia="Times New Roman" w:hAnsi="Times New Roman"/>
          <w:sz w:val="21"/>
          <w:szCs w:val="21"/>
          <w:color w:val="auto"/>
        </w:rPr>
        <w:t xml:space="preserve"> hereof, and the Company shall pay all reasonable fees and expenses incident to the procedures of this </w:t>
      </w:r>
      <w:r>
        <w:rPr>
          <w:rFonts w:ascii="Times New Roman" w:cs="Times New Roman" w:eastAsia="Times New Roman" w:hAnsi="Times New Roman"/>
          <w:sz w:val="21"/>
          <w:szCs w:val="21"/>
          <w:u w:val="single" w:color="auto"/>
          <w:color w:val="auto"/>
        </w:rPr>
        <w:t>Section 7(c)</w:t>
      </w:r>
      <w:r>
        <w:rPr>
          <w:rFonts w:ascii="Times New Roman" w:cs="Times New Roman" w:eastAsia="Times New Roman" w:hAnsi="Times New Roman"/>
          <w:sz w:val="21"/>
          <w:szCs w:val="21"/>
          <w:color w:val="auto"/>
        </w:rPr>
        <w:t xml:space="preserve">, regardless of the manner in which such Independent Counsel was selected or appointed. Upon the due commencement of any judicial proceeding pursuant to </w:t>
      </w:r>
      <w:r>
        <w:rPr>
          <w:rFonts w:ascii="Times New Roman" w:cs="Times New Roman" w:eastAsia="Times New Roman" w:hAnsi="Times New Roman"/>
          <w:sz w:val="21"/>
          <w:szCs w:val="21"/>
          <w:u w:val="single" w:color="auto"/>
          <w:color w:val="auto"/>
        </w:rPr>
        <w:t>Section 8(a)</w:t>
      </w:r>
      <w:r>
        <w:rPr>
          <w:rFonts w:ascii="Times New Roman" w:cs="Times New Roman" w:eastAsia="Times New Roman" w:hAnsi="Times New Roman"/>
          <w:sz w:val="21"/>
          <w:szCs w:val="21"/>
          <w:color w:val="auto"/>
        </w:rPr>
        <w:t>, the Independent Counsel shall be discharged and relieved of any further responsibility in such capacity (subject to the applicable standards of professional conduct then prevailing).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180"/>
          </w:cols>
          <w:pgMar w:left="320" w:top="1359" w:right="399" w:bottom="1440" w:gutter="0" w:footer="0" w:header="0"/>
        </w:sectPr>
      </w:pPr>
    </w:p>
    <w:bookmarkStart w:id="93" w:name="page94"/>
    <w:bookmarkEnd w:id="93"/>
    <w:p>
      <w:pPr>
        <w:ind w:left="-5" w:right="20" w:firstLine="1188"/>
        <w:spacing w:after="0" w:line="217" w:lineRule="auto"/>
        <w:tabs>
          <w:tab w:leader="none" w:pos="1883"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making a determination with respect to entitlement to indemnification hereunder, the person or persons or entity making such determination shall presume that Indemnitee is entitled to indemnification under this Agreement. Anyone seeking to overcome this presumption shall have the burden of proof and the burden of persuasion to establish by clear and convincing evidence that Indemnitee is not so entitled.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145" w:lineRule="exact"/>
        <w:rPr>
          <w:rFonts w:ascii="Times New Roman" w:cs="Times New Roman" w:eastAsia="Times New Roman" w:hAnsi="Times New Roman"/>
          <w:sz w:val="21"/>
          <w:szCs w:val="21"/>
          <w:color w:val="auto"/>
        </w:rPr>
      </w:pPr>
    </w:p>
    <w:p>
      <w:pPr>
        <w:ind w:left="-5" w:firstLine="1188"/>
        <w:spacing w:after="0" w:line="213" w:lineRule="auto"/>
        <w:tabs>
          <w:tab w:leader="none" w:pos="1884"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Indemnitee shall be deemed to have acted in good faith if Indemnitee’s action is based on the records or books of account of the Enterprise (as hereinafter defined), including financial statements, or on information supplied to Indemnitee by the directors, officers, employees, agents or fiduciaries of the Enterprise in the course of their duties, or on the advice of legal counsel for the Enterprise, its Board, any committee of the Board or any director, or on information or records given or reports made to the Enterprise, its Board, any committee of the Board or any director by an independent certified public accountant or by an appraiser or other expert selected with reasonable care by the Enterprise. The provisions of this </w:t>
      </w:r>
      <w:r>
        <w:rPr>
          <w:rFonts w:ascii="Times New Roman" w:cs="Times New Roman" w:eastAsia="Times New Roman" w:hAnsi="Times New Roman"/>
          <w:sz w:val="21"/>
          <w:szCs w:val="21"/>
          <w:u w:val="single" w:color="auto"/>
          <w:color w:val="auto"/>
        </w:rPr>
        <w:t>Section 7(e)</w:t>
      </w:r>
      <w:r>
        <w:rPr>
          <w:rFonts w:ascii="Times New Roman" w:cs="Times New Roman" w:eastAsia="Times New Roman" w:hAnsi="Times New Roman"/>
          <w:sz w:val="21"/>
          <w:szCs w:val="21"/>
          <w:color w:val="auto"/>
        </w:rPr>
        <w:t xml:space="preserve"> shall not be deemed to be exclusive or limit in any way the other circumstances in which the Indemnitee may be deemed to have met the applicable standard of conduct set forth in this Agreement. In addition, the knowledge and/or actions, or failure to act, of any director, officer, employee, agent or fiduciary of the Enterprise shall not be imputed to Indemnitee for purposes of determining the right to indemnification under this Agreement. Whether or not the foregoing provisions of this </w:t>
      </w:r>
      <w:r>
        <w:rPr>
          <w:rFonts w:ascii="Times New Roman" w:cs="Times New Roman" w:eastAsia="Times New Roman" w:hAnsi="Times New Roman"/>
          <w:sz w:val="21"/>
          <w:szCs w:val="21"/>
          <w:u w:val="single" w:color="auto"/>
          <w:color w:val="auto"/>
        </w:rPr>
        <w:t>Section 7(e)</w:t>
      </w:r>
      <w:r>
        <w:rPr>
          <w:rFonts w:ascii="Times New Roman" w:cs="Times New Roman" w:eastAsia="Times New Roman" w:hAnsi="Times New Roman"/>
          <w:sz w:val="21"/>
          <w:szCs w:val="21"/>
          <w:color w:val="auto"/>
        </w:rPr>
        <w:t xml:space="preserve"> are satisfied, it shall in any event be presumed that Indemnitee has at all times acted in good faith and in a manner such person reasonably believed to be in or not opposed to the best interests of the Company. Anyone seeking to overcome this presumption shall have the burden of proof and the burden of persuasion to establish by clear and convincing evidence that Indemnitee did not satisfy the applicable standard of conduct.</w:t>
      </w:r>
    </w:p>
    <w:p>
      <w:pPr>
        <w:spacing w:after="0" w:line="158" w:lineRule="exact"/>
        <w:rPr>
          <w:rFonts w:ascii="Times New Roman" w:cs="Times New Roman" w:eastAsia="Times New Roman" w:hAnsi="Times New Roman"/>
          <w:sz w:val="21"/>
          <w:szCs w:val="21"/>
          <w:color w:val="auto"/>
        </w:rPr>
      </w:pPr>
    </w:p>
    <w:p>
      <w:pPr>
        <w:ind w:left="-5" w:right="100" w:firstLine="1188"/>
        <w:spacing w:after="0" w:line="211" w:lineRule="auto"/>
        <w:tabs>
          <w:tab w:leader="none" w:pos="1887"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person, persons or entity empowered or selected under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to determine whether Indemnitee is entitled to indemnification shall not have made a determination within sixty (60) days after the later of (1) the receipt by the Company of the request for indemnification pursuant to </w:t>
      </w:r>
      <w:r>
        <w:rPr>
          <w:rFonts w:ascii="Times New Roman" w:cs="Times New Roman" w:eastAsia="Times New Roman" w:hAnsi="Times New Roman"/>
          <w:sz w:val="21"/>
          <w:szCs w:val="21"/>
          <w:u w:val="single" w:color="auto"/>
          <w:color w:val="auto"/>
        </w:rPr>
        <w:t>Section 7(a)</w:t>
      </w:r>
      <w:r>
        <w:rPr>
          <w:rFonts w:ascii="Times New Roman" w:cs="Times New Roman" w:eastAsia="Times New Roman" w:hAnsi="Times New Roman"/>
          <w:sz w:val="21"/>
          <w:szCs w:val="21"/>
          <w:color w:val="auto"/>
        </w:rPr>
        <w:t xml:space="preserve"> and (2) the final disposition of the Proceeding relating to such request,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statements not materially misleading, in connection with the request for indemnification, or (ii) a prohibition of such indemnification under applicable law;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such sixty (60)-day period may be extended for a reasonable time, not to exceed an additional thirty (30) days, if the person, persons or entity making such determination with respect to entitlement to indemnification in good faith requests such additional time to obtain or evaluate documentation and/or information relating thereto; </w:t>
      </w:r>
      <w:r>
        <w:rPr>
          <w:rFonts w:ascii="Times New Roman" w:cs="Times New Roman" w:eastAsia="Times New Roman" w:hAnsi="Times New Roman"/>
          <w:sz w:val="21"/>
          <w:szCs w:val="21"/>
          <w:i w:val="1"/>
          <w:iCs w:val="1"/>
          <w:color w:val="auto"/>
        </w:rPr>
        <w:t>and provided, further</w:t>
      </w:r>
      <w:r>
        <w:rPr>
          <w:rFonts w:ascii="Times New Roman" w:cs="Times New Roman" w:eastAsia="Times New Roman" w:hAnsi="Times New Roman"/>
          <w:sz w:val="21"/>
          <w:szCs w:val="21"/>
          <w:color w:val="auto"/>
        </w:rPr>
        <w:t xml:space="preserve">, that the foregoing provisions of this </w:t>
      </w:r>
      <w:r>
        <w:rPr>
          <w:rFonts w:ascii="Times New Roman" w:cs="Times New Roman" w:eastAsia="Times New Roman" w:hAnsi="Times New Roman"/>
          <w:sz w:val="21"/>
          <w:szCs w:val="21"/>
          <w:u w:val="single" w:color="auto"/>
          <w:color w:val="auto"/>
        </w:rPr>
        <w:t>Section 7(f)</w:t>
      </w:r>
      <w:r>
        <w:rPr>
          <w:rFonts w:ascii="Times New Roman" w:cs="Times New Roman" w:eastAsia="Times New Roman" w:hAnsi="Times New Roman"/>
          <w:sz w:val="21"/>
          <w:szCs w:val="21"/>
          <w:color w:val="auto"/>
        </w:rPr>
        <w:t xml:space="preserve"> shall not apply if the determination of entitlement to indemnification is to be made by the stockholders pursuant to </w:t>
      </w:r>
      <w:r>
        <w:rPr>
          <w:rFonts w:ascii="Times New Roman" w:cs="Times New Roman" w:eastAsia="Times New Roman" w:hAnsi="Times New Roman"/>
          <w:sz w:val="21"/>
          <w:szCs w:val="21"/>
          <w:u w:val="single" w:color="auto"/>
          <w:color w:val="auto"/>
        </w:rPr>
        <w:t>Section 7(b)</w:t>
      </w:r>
      <w:r>
        <w:rPr>
          <w:rFonts w:ascii="Times New Roman" w:cs="Times New Roman" w:eastAsia="Times New Roman" w:hAnsi="Times New Roman"/>
          <w:sz w:val="21"/>
          <w:szCs w:val="21"/>
          <w:color w:val="auto"/>
        </w:rPr>
        <w:t xml:space="preserve"> of this Agreement and if (A) within fifteen</w:t>
      </w:r>
    </w:p>
    <w:p>
      <w:pPr>
        <w:spacing w:after="0" w:line="1" w:lineRule="exact"/>
        <w:rPr>
          <w:rFonts w:ascii="Times New Roman" w:cs="Times New Roman" w:eastAsia="Times New Roman" w:hAnsi="Times New Roman"/>
          <w:sz w:val="21"/>
          <w:szCs w:val="21"/>
          <w:color w:val="auto"/>
        </w:rPr>
      </w:pPr>
    </w:p>
    <w:p>
      <w:pPr>
        <w:jc w:val="both"/>
        <w:ind w:left="-5" w:right="20" w:firstLine="5"/>
        <w:spacing w:after="0" w:line="209" w:lineRule="auto"/>
        <w:tabs>
          <w:tab w:leader="none" w:pos="398"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after receipt by the Company of the request for such determination, the Board or the Disinterested Directors, if appropriate, resolve to submit such determination to the stockholders for their consideration at an annual meeting thereof to be held within ninety</w:t>
      </w:r>
    </w:p>
    <w:p>
      <w:pPr>
        <w:ind w:left="395" w:hanging="395"/>
        <w:spacing w:after="0" w:line="209" w:lineRule="auto"/>
        <w:tabs>
          <w:tab w:leader="none" w:pos="395"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after such receipt and such determination is made thereat, or (B) a special meeting of stockholders is called within fifteen</w:t>
      </w:r>
    </w:p>
    <w:p>
      <w:pPr>
        <w:ind w:left="395" w:hanging="395"/>
        <w:spacing w:after="0" w:line="209" w:lineRule="auto"/>
        <w:tabs>
          <w:tab w:leader="none" w:pos="395"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after such receipt for the purpose of making such determination, such meeting is held for such purpose within seventy-five</w:t>
      </w:r>
    </w:p>
    <w:p>
      <w:pPr>
        <w:ind w:left="395" w:hanging="395"/>
        <w:spacing w:after="0"/>
        <w:tabs>
          <w:tab w:leader="none" w:pos="395"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after having been so called and such determination is made thereat.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35"/>
          </w:cols>
          <w:pgMar w:left="325" w:top="1361" w:right="339" w:bottom="1440" w:gutter="0" w:footer="0" w:header="0"/>
        </w:sectPr>
      </w:pPr>
    </w:p>
    <w:bookmarkStart w:id="94" w:name="page95"/>
    <w:bookmarkEnd w:id="94"/>
    <w:p>
      <w:pPr>
        <w:ind w:left="-5" w:firstLine="1188"/>
        <w:spacing w:after="0" w:line="216" w:lineRule="auto"/>
        <w:tabs>
          <w:tab w:leader="none" w:pos="1883" w:val="left"/>
        </w:tabs>
        <w:numPr>
          <w:ilvl w:val="2"/>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Indemnitee shall cooperate promptly, reasonably and in good faith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Independent Counsel or member of the Board shall act reasonably and in good faith in making a determination regarding the Indemnitee’s entitlement to indemnification under this Agreement. Any costs or expenses (including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w:t>
      </w:r>
    </w:p>
    <w:p>
      <w:pPr>
        <w:spacing w:after="0" w:line="146" w:lineRule="exact"/>
        <w:rPr>
          <w:rFonts w:ascii="Times New Roman" w:cs="Times New Roman" w:eastAsia="Times New Roman" w:hAnsi="Times New Roman"/>
          <w:sz w:val="21"/>
          <w:szCs w:val="21"/>
          <w:color w:val="auto"/>
        </w:rPr>
      </w:pPr>
    </w:p>
    <w:p>
      <w:pPr>
        <w:ind w:left="-5" w:right="20" w:firstLine="1188"/>
        <w:spacing w:after="0" w:line="219" w:lineRule="auto"/>
        <w:tabs>
          <w:tab w:leader="none" w:pos="1883" w:val="left"/>
        </w:tabs>
        <w:numPr>
          <w:ilvl w:val="2"/>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acknowledges that a settlement or other disposition short of final judgment may be successful if it permits a party to avoid expense, delay, distraction, disruption and uncertainty. In the event that any action, suit or proceeding to which Indemnitee is a party is resolved in any manner other than by adverse judgment against Indemnitee (including, without limitation, settlement of such action, suit or proceeding with or without payment of money or other consideration), it shall be presumed that Indemnitee has been successful on the merits or otherwise in such action, suit or proceeding. Anyone seeking to overcome this presumption shall have the burden of proof and the burden of persuasion by clear and convincing evidence.</w:t>
      </w:r>
    </w:p>
    <w:p>
      <w:pPr>
        <w:spacing w:after="0" w:line="149" w:lineRule="exact"/>
        <w:rPr>
          <w:rFonts w:ascii="Times New Roman" w:cs="Times New Roman" w:eastAsia="Times New Roman" w:hAnsi="Times New Roman"/>
          <w:sz w:val="21"/>
          <w:szCs w:val="21"/>
          <w:color w:val="auto"/>
        </w:rPr>
      </w:pPr>
    </w:p>
    <w:p>
      <w:pPr>
        <w:jc w:val="both"/>
        <w:ind w:left="-5" w:right="100" w:firstLine="1188"/>
        <w:spacing w:after="0" w:line="221" w:lineRule="auto"/>
        <w:tabs>
          <w:tab w:leader="none" w:pos="1876" w:val="left"/>
        </w:tabs>
        <w:numPr>
          <w:ilvl w:val="2"/>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such person reasonably believed to be in or not opposed to the best interests of the Company or, with respect to any criminal Proceeding, that Indemnitee had reasonable cause to believe that such person’s conduct was unlawful.</w:t>
      </w:r>
    </w:p>
    <w:p>
      <w:pPr>
        <w:spacing w:after="0" w:line="149" w:lineRule="exact"/>
        <w:rPr>
          <w:rFonts w:ascii="Times New Roman" w:cs="Times New Roman" w:eastAsia="Times New Roman" w:hAnsi="Times New Roman"/>
          <w:sz w:val="21"/>
          <w:szCs w:val="21"/>
          <w:color w:val="auto"/>
        </w:rPr>
      </w:pPr>
    </w:p>
    <w:p>
      <w:pPr>
        <w:ind w:left="1255" w:hanging="624"/>
        <w:spacing w:after="0"/>
        <w:tabs>
          <w:tab w:leader="none" w:pos="1255"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Remedies of Indemnitee</w:t>
      </w:r>
      <w:r>
        <w:rPr>
          <w:rFonts w:ascii="Times New Roman" w:cs="Times New Roman" w:eastAsia="Times New Roman" w:hAnsi="Times New Roman"/>
          <w:sz w:val="21"/>
          <w:szCs w:val="21"/>
          <w:color w:val="auto"/>
        </w:rPr>
        <w:t>.</w:t>
      </w:r>
    </w:p>
    <w:p>
      <w:pPr>
        <w:spacing w:after="0" w:line="179" w:lineRule="exact"/>
        <w:rPr>
          <w:rFonts w:ascii="Times New Roman" w:cs="Times New Roman" w:eastAsia="Times New Roman" w:hAnsi="Times New Roman"/>
          <w:sz w:val="21"/>
          <w:szCs w:val="21"/>
          <w:color w:val="auto"/>
        </w:rPr>
      </w:pPr>
    </w:p>
    <w:p>
      <w:pPr>
        <w:ind w:left="-5" w:right="40" w:firstLine="1188"/>
        <w:spacing w:after="0" w:line="216" w:lineRule="auto"/>
        <w:tabs>
          <w:tab w:leader="none" w:pos="1884" w:val="left"/>
        </w:tabs>
        <w:numPr>
          <w:ilvl w:val="2"/>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that (i) a determination is made pursuant to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of this Agreement that Indemnitee is not entitled to indemnification under this Agreement, (ii) advancement of Expenses is not timely made pursuant to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of this Agreement, (iii) no determination of entitlement to indemnification is made pursuant to </w:t>
      </w:r>
      <w:r>
        <w:rPr>
          <w:rFonts w:ascii="Times New Roman" w:cs="Times New Roman" w:eastAsia="Times New Roman" w:hAnsi="Times New Roman"/>
          <w:sz w:val="21"/>
          <w:szCs w:val="21"/>
          <w:u w:val="single" w:color="auto"/>
          <w:color w:val="auto"/>
        </w:rPr>
        <w:t>Section 7(b)</w:t>
      </w:r>
      <w:r>
        <w:rPr>
          <w:rFonts w:ascii="Times New Roman" w:cs="Times New Roman" w:eastAsia="Times New Roman" w:hAnsi="Times New Roman"/>
          <w:sz w:val="21"/>
          <w:szCs w:val="21"/>
          <w:color w:val="auto"/>
        </w:rPr>
        <w:t xml:space="preserve"> of this Agreement within ninety</w:t>
      </w:r>
    </w:p>
    <w:p>
      <w:pPr>
        <w:spacing w:after="0" w:line="2" w:lineRule="exact"/>
        <w:rPr>
          <w:rFonts w:ascii="Times New Roman" w:cs="Times New Roman" w:eastAsia="Times New Roman" w:hAnsi="Times New Roman"/>
          <w:sz w:val="21"/>
          <w:szCs w:val="21"/>
          <w:color w:val="auto"/>
        </w:rPr>
      </w:pPr>
    </w:p>
    <w:p>
      <w:pPr>
        <w:ind w:left="-5" w:firstLine="5"/>
        <w:spacing w:after="0" w:line="212" w:lineRule="auto"/>
        <w:tabs>
          <w:tab w:leader="none" w:pos="398"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days after the later of (1) the receipt by the Company of the request for indemnification pursuant to </w:t>
      </w:r>
      <w:r>
        <w:rPr>
          <w:rFonts w:ascii="Times New Roman" w:cs="Times New Roman" w:eastAsia="Times New Roman" w:hAnsi="Times New Roman"/>
          <w:sz w:val="21"/>
          <w:szCs w:val="21"/>
          <w:u w:val="single" w:color="auto"/>
          <w:color w:val="auto"/>
        </w:rPr>
        <w:t>Section 7(a)</w:t>
      </w:r>
      <w:r>
        <w:rPr>
          <w:rFonts w:ascii="Times New Roman" w:cs="Times New Roman" w:eastAsia="Times New Roman" w:hAnsi="Times New Roman"/>
          <w:sz w:val="21"/>
          <w:szCs w:val="21"/>
          <w:color w:val="auto"/>
        </w:rPr>
        <w:t xml:space="preserve"> and (2) the final disposition of the Proceeding relating to such request, (iv) payment of indemnification is not made pursuant to </w:t>
      </w:r>
      <w:r>
        <w:rPr>
          <w:rFonts w:ascii="Times New Roman" w:cs="Times New Roman" w:eastAsia="Times New Roman" w:hAnsi="Times New Roman"/>
          <w:sz w:val="21"/>
          <w:szCs w:val="21"/>
          <w:u w:val="single" w:color="auto"/>
          <w:color w:val="auto"/>
        </w:rPr>
        <w:t>Section 1(c)</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4</w:t>
      </w:r>
      <w:r>
        <w:rPr>
          <w:rFonts w:ascii="Times New Roman" w:cs="Times New Roman" w:eastAsia="Times New Roman" w:hAnsi="Times New Roman"/>
          <w:sz w:val="21"/>
          <w:szCs w:val="21"/>
          <w:color w:val="auto"/>
        </w:rPr>
        <w:t xml:space="preserve"> or the last sentence of </w:t>
      </w:r>
      <w:r>
        <w:rPr>
          <w:rFonts w:ascii="Times New Roman" w:cs="Times New Roman" w:eastAsia="Times New Roman" w:hAnsi="Times New Roman"/>
          <w:sz w:val="21"/>
          <w:szCs w:val="21"/>
          <w:u w:val="single" w:color="auto"/>
          <w:color w:val="auto"/>
        </w:rPr>
        <w:t>Section 7(g)</w:t>
      </w:r>
      <w:r>
        <w:rPr>
          <w:rFonts w:ascii="Times New Roman" w:cs="Times New Roman" w:eastAsia="Times New Roman" w:hAnsi="Times New Roman"/>
          <w:sz w:val="21"/>
          <w:szCs w:val="21"/>
          <w:color w:val="auto"/>
        </w:rPr>
        <w:t xml:space="preserve"> of this Agreement within thirty (30) days after receipt by the Company of a written request therefor and reasonable evidence thereof, (v) payment of indemnification or contribution is not made pursuant to </w:t>
      </w:r>
      <w:r>
        <w:rPr>
          <w:rFonts w:ascii="Times New Roman" w:cs="Times New Roman" w:eastAsia="Times New Roman" w:hAnsi="Times New Roman"/>
          <w:sz w:val="21"/>
          <w:szCs w:val="21"/>
          <w:u w:val="single" w:color="auto"/>
          <w:color w:val="auto"/>
        </w:rPr>
        <w:t>Sections 1(a)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3</w:t>
      </w:r>
      <w:r>
        <w:rPr>
          <w:rFonts w:ascii="Times New Roman" w:cs="Times New Roman" w:eastAsia="Times New Roman" w:hAnsi="Times New Roman"/>
          <w:sz w:val="21"/>
          <w:szCs w:val="21"/>
          <w:color w:val="auto"/>
        </w:rPr>
        <w:t xml:space="preserve"> of this Agreement within ten (10) days after a determination has been made that Indemnitee is entitled to indemnification or contribution or such determination is deemed to have been made pursuant to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of this Agreement, or (vi) the Company or any other person takes any action to declare this Agreement void or unenforceable, or institutes any litigation or other action or Proceeding designed to deny, or to recover from, Indemnitee the benefits provided or intended to be provided hereunder, Indemnitee shall be entitled to an adjudication in an appropriate court of the State of Delaware of Indemnitee’s entitlement to such indemnification, contribution or advancement rights. Indemnitee shall commence such proceeding seeking an adjudication within 180 days following the date on which Indemnitee first has the right to commence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15"/>
          </w:cols>
          <w:pgMar w:left="325" w:top="1361"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21"/>
          <w:szCs w:val="21"/>
          <w:color w:val="auto"/>
        </w:rPr>
        <w:t xml:space="preserve">proceeding pursuant to this </w:t>
      </w:r>
      <w:r>
        <w:rPr>
          <w:rFonts w:ascii="Times New Roman" w:cs="Times New Roman" w:eastAsia="Times New Roman" w:hAnsi="Times New Roman"/>
          <w:sz w:val="21"/>
          <w:szCs w:val="21"/>
          <w:u w:val="single" w:color="auto"/>
          <w:color w:val="auto"/>
        </w:rPr>
        <w:t>Section 8(a)</w:t>
      </w:r>
      <w:r>
        <w:rPr>
          <w:rFonts w:ascii="Times New Roman" w:cs="Times New Roman" w:eastAsia="Times New Roman" w:hAnsi="Times New Roman"/>
          <w:sz w:val="21"/>
          <w:szCs w:val="21"/>
          <w:color w:val="auto"/>
        </w:rPr>
        <w:t>. The Company shall not oppose Indemnitee’s right to seek any such adjudication.</w:t>
      </w:r>
    </w:p>
    <w:p>
      <w:pPr>
        <w:spacing w:after="0" w:line="179" w:lineRule="exact"/>
        <w:rPr>
          <w:sz w:val="20"/>
          <w:szCs w:val="20"/>
          <w:color w:val="auto"/>
        </w:rPr>
      </w:pPr>
    </w:p>
    <w:p>
      <w:pPr>
        <w:ind w:firstLine="1188"/>
        <w:spacing w:after="0" w:line="221" w:lineRule="auto"/>
        <w:tabs>
          <w:tab w:leader="none" w:pos="1888"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that a determination shall have been made pursuant to </w:t>
      </w:r>
      <w:r>
        <w:rPr>
          <w:rFonts w:ascii="Times New Roman" w:cs="Times New Roman" w:eastAsia="Times New Roman" w:hAnsi="Times New Roman"/>
          <w:sz w:val="21"/>
          <w:szCs w:val="21"/>
          <w:u w:val="single" w:color="auto"/>
          <w:color w:val="auto"/>
        </w:rPr>
        <w:t>Section 7(b)</w:t>
      </w:r>
      <w:r>
        <w:rPr>
          <w:rFonts w:ascii="Times New Roman" w:cs="Times New Roman" w:eastAsia="Times New Roman" w:hAnsi="Times New Roman"/>
          <w:sz w:val="21"/>
          <w:szCs w:val="21"/>
          <w:color w:val="auto"/>
        </w:rPr>
        <w:t xml:space="preserve"> of this Agreement that Indemnitee is not entitled to indemnification, any judicial proceeding commenced pursuant to this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shall be conducted in all respects as a </w:t>
      </w:r>
      <w:r>
        <w:rPr>
          <w:rFonts w:ascii="Times New Roman" w:cs="Times New Roman" w:eastAsia="Times New Roman" w:hAnsi="Times New Roman"/>
          <w:sz w:val="21"/>
          <w:szCs w:val="21"/>
          <w:i w:val="1"/>
          <w:iCs w:val="1"/>
          <w:color w:val="auto"/>
        </w:rPr>
        <w:t>de novo</w:t>
      </w:r>
      <w:r>
        <w:rPr>
          <w:rFonts w:ascii="Times New Roman" w:cs="Times New Roman" w:eastAsia="Times New Roman" w:hAnsi="Times New Roman"/>
          <w:sz w:val="21"/>
          <w:szCs w:val="21"/>
          <w:color w:val="auto"/>
        </w:rPr>
        <w:t xml:space="preserve"> trial on the merits, and Indemnitee shall not be prejudiced by reason of the adverse determination under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7(b)</w:t>
      </w:r>
      <w:r>
        <w:rPr>
          <w:rFonts w:ascii="Times New Roman" w:cs="Times New Roman" w:eastAsia="Times New Roman" w:hAnsi="Times New Roman"/>
          <w:sz w:val="21"/>
          <w:szCs w:val="21"/>
          <w:color w:val="auto"/>
        </w:rPr>
        <w:t xml:space="preserve">. In any judicial proceeding commenced pursuant to this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the Company shall have the burden of proving that the Indemnitee is not entitled to indemnification or advancement of Expenses, as the case may be.</w:t>
      </w:r>
    </w:p>
    <w:p>
      <w:pPr>
        <w:spacing w:after="0" w:line="149" w:lineRule="exact"/>
        <w:rPr>
          <w:rFonts w:ascii="Times New Roman" w:cs="Times New Roman" w:eastAsia="Times New Roman" w:hAnsi="Times New Roman"/>
          <w:sz w:val="21"/>
          <w:szCs w:val="21"/>
          <w:color w:val="auto"/>
        </w:rPr>
      </w:pPr>
    </w:p>
    <w:p>
      <w:pPr>
        <w:ind w:right="60" w:firstLine="1188"/>
        <w:spacing w:after="0" w:line="221" w:lineRule="auto"/>
        <w:tabs>
          <w:tab w:leader="none" w:pos="1889"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 determination shall have been made pursuant to </w:t>
      </w:r>
      <w:r>
        <w:rPr>
          <w:rFonts w:ascii="Times New Roman" w:cs="Times New Roman" w:eastAsia="Times New Roman" w:hAnsi="Times New Roman"/>
          <w:sz w:val="21"/>
          <w:szCs w:val="21"/>
          <w:u w:val="single" w:color="auto"/>
          <w:color w:val="auto"/>
        </w:rPr>
        <w:t>Section 7(b)</w:t>
      </w:r>
      <w:r>
        <w:rPr>
          <w:rFonts w:ascii="Times New Roman" w:cs="Times New Roman" w:eastAsia="Times New Roman" w:hAnsi="Times New Roman"/>
          <w:sz w:val="21"/>
          <w:szCs w:val="21"/>
          <w:color w:val="auto"/>
        </w:rPr>
        <w:t xml:space="preserve"> of this Agreement that Indemnitee is entitled to indemnification, the Company shall be bound by such determination in any judicial proceeding commenced pursuant to this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absent (i) a misstatement by Indemnitee of a material fact, or an omission of a material fact necessary to make Indemnitee’s misstatement not materially misleading in connection with the application for indemnification, or (ii) a prohibition of such indemnification under applicable law.</w:t>
      </w:r>
    </w:p>
    <w:p>
      <w:pPr>
        <w:spacing w:after="0" w:line="149" w:lineRule="exact"/>
        <w:rPr>
          <w:rFonts w:ascii="Times New Roman" w:cs="Times New Roman" w:eastAsia="Times New Roman" w:hAnsi="Times New Roman"/>
          <w:sz w:val="21"/>
          <w:szCs w:val="21"/>
          <w:color w:val="auto"/>
        </w:rPr>
      </w:pPr>
    </w:p>
    <w:p>
      <w:pPr>
        <w:ind w:right="80" w:firstLine="1188"/>
        <w:spacing w:after="0" w:line="219" w:lineRule="auto"/>
        <w:tabs>
          <w:tab w:leader="none" w:pos="1888"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that Indemnitee, pursuant to this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seeks a judicial adjudication of Indemnitee’s rights under, or to recover damages for breach of, this Agreement, or to recover under any directors’ and officers’ liability insurance policies maintained by the Company, the Company shall pay on Indemnitee’s behalf, in advance, any and all expenses (of the types described in the definition of Expenses in </w:t>
      </w:r>
      <w:r>
        <w:rPr>
          <w:rFonts w:ascii="Times New Roman" w:cs="Times New Roman" w:eastAsia="Times New Roman" w:hAnsi="Times New Roman"/>
          <w:sz w:val="21"/>
          <w:szCs w:val="21"/>
          <w:u w:val="single" w:color="auto"/>
          <w:color w:val="auto"/>
        </w:rPr>
        <w:t>Section 14</w:t>
      </w:r>
      <w:r>
        <w:rPr>
          <w:rFonts w:ascii="Times New Roman" w:cs="Times New Roman" w:eastAsia="Times New Roman" w:hAnsi="Times New Roman"/>
          <w:sz w:val="21"/>
          <w:szCs w:val="21"/>
          <w:color w:val="auto"/>
        </w:rPr>
        <w:t xml:space="preserve"> of this Agreement) actually and reasonably incurred by such person in such judicial adjudication, regardless of whether Indemnitee ultimately is determined to be entitled to such indemnification, advancement of expenses or insurance recovery.</w:t>
      </w:r>
    </w:p>
    <w:p>
      <w:pPr>
        <w:spacing w:after="0" w:line="149" w:lineRule="exact"/>
        <w:rPr>
          <w:rFonts w:ascii="Times New Roman" w:cs="Times New Roman" w:eastAsia="Times New Roman" w:hAnsi="Times New Roman"/>
          <w:sz w:val="21"/>
          <w:szCs w:val="21"/>
          <w:color w:val="auto"/>
        </w:rPr>
      </w:pPr>
    </w:p>
    <w:p>
      <w:pPr>
        <w:ind w:firstLine="1188"/>
        <w:spacing w:after="0" w:line="213" w:lineRule="auto"/>
        <w:tabs>
          <w:tab w:leader="none" w:pos="1889"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shall be precluded from asserting in any judicial proceeding commenced pursuant to this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that the procedures and presumptions of this Agreement are not valid, binding and enforceable and shall stipulate in any such court that the Company is bound by all the provisions of this Agreement. It is the intent of the Company that, to the fullest extent permitted by law, the Indemnitee not be required to incur legal fees or other Expenses associated with the interpretation, enforcement or defense of Indemnitee’s rights under the Certificate of Incorporation, the Bylaws or this Agreement by litigation or otherwise because the cost and expense thereof would substantially detract from the benefits intended to be provided to the Indemnitee hereunder. The Company shall indemnify Indemnitee against any and all Expenses and, if requested by Indemnitee, shall (within thirty (30) days after receipt by the Company of a written request therefor and reasonable evidence thereof) advance, to the extent not prohibited by law, such expenses to Indemnitee, which are incurred by Indemnitee in connection with any action brought by Indemnitee for indemnification or advancement of Expenses from the Company under the Certificate of Incorporation, the Bylaws or this Agreement or under any directors’ and officers’ liability insurance policies maintained by the Company, if, in the case of indemnification, Indemnitee is wholly successful on the underlying claims; if Indemnitee is not wholly successful on the underlying claims, then such indemnification shall be only to the extent Indemnitee is successful on such underlying claims or otherwise as permitted by law, whichever is greater.</w:t>
      </w:r>
    </w:p>
    <w:p>
      <w:pPr>
        <w:spacing w:after="0" w:line="154" w:lineRule="exact"/>
        <w:rPr>
          <w:rFonts w:ascii="Times New Roman" w:cs="Times New Roman" w:eastAsia="Times New Roman" w:hAnsi="Times New Roman"/>
          <w:sz w:val="21"/>
          <w:szCs w:val="21"/>
          <w:color w:val="auto"/>
        </w:rPr>
      </w:pPr>
    </w:p>
    <w:p>
      <w:pPr>
        <w:ind w:right="1120" w:firstLine="1188"/>
        <w:spacing w:after="0" w:line="242" w:lineRule="auto"/>
        <w:tabs>
          <w:tab w:leader="none" w:pos="1892"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in this Agreement to the contrary, no determination as to entitlement to indemnification under this Agreement shall be required to be made prior to the final disposition of the Proceeding.</w:t>
      </w:r>
    </w:p>
    <w:p>
      <w:pPr>
        <w:spacing w:after="0" w:line="143" w:lineRule="exact"/>
        <w:rPr>
          <w:rFonts w:ascii="Times New Roman" w:cs="Times New Roman" w:eastAsia="Times New Roman" w:hAnsi="Times New Roman"/>
          <w:sz w:val="21"/>
          <w:szCs w:val="21"/>
          <w:color w:val="auto"/>
        </w:rPr>
      </w:pPr>
    </w:p>
    <w:p>
      <w:pPr>
        <w:ind w:left="1260" w:hanging="624"/>
        <w:spacing w:after="0"/>
        <w:tabs>
          <w:tab w:leader="none" w:pos="1260"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Non-Exclusivity; Survival of Rights; Insurance; Primacy of Indemnification; Subrogation</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20"/>
          </w:cols>
          <w:pgMar w:left="320" w:top="1361" w:right="359" w:bottom="1440" w:gutter="0" w:footer="0" w:header="0"/>
        </w:sectPr>
      </w:pPr>
    </w:p>
    <w:bookmarkStart w:id="96" w:name="page97"/>
    <w:bookmarkEnd w:id="96"/>
    <w:p>
      <w:pPr>
        <w:ind w:left="-20" w:firstLine="1188"/>
        <w:spacing w:after="0" w:line="216" w:lineRule="auto"/>
        <w:tabs>
          <w:tab w:leader="none" w:pos="1869"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rights of indemnification provided by this Agreement shall not be deemed exclusive of any other rights to which Indemnitee may at any time be entitled under applicable law, the Certificate of Incorporation, Bylaws, a vote of stockholders, a resolution of directors of the Company, or otherwise. To the extent that a change in the DGCL, whether by statute or judicial decision, permits greater indemnification than would be afforded currently under the Certificate of Incorporation,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46" w:lineRule="exact"/>
        <w:rPr>
          <w:rFonts w:ascii="Times New Roman" w:cs="Times New Roman" w:eastAsia="Times New Roman" w:hAnsi="Times New Roman"/>
          <w:sz w:val="21"/>
          <w:szCs w:val="21"/>
          <w:color w:val="auto"/>
        </w:rPr>
      </w:pPr>
    </w:p>
    <w:p>
      <w:pPr>
        <w:ind w:left="-20" w:right="140" w:firstLine="1188"/>
        <w:spacing w:after="0" w:line="217" w:lineRule="auto"/>
        <w:tabs>
          <w:tab w:leader="none" w:pos="1868"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the Company maintains an insurance policy or policies providing liability insurance for directors, officers, employees, agents or fiduciaries of the Company or of any other Enterprise, Indemnitee shall be covered by such policy or policies in accordance with its or their terms to the maximum extent of the coverage available for any person serving in such capacity. If, at the time of the receipt of a notice of a claim pursuant to the terms hereof, the Company has director and officer liability or similar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45" w:lineRule="exact"/>
        <w:rPr>
          <w:rFonts w:ascii="Times New Roman" w:cs="Times New Roman" w:eastAsia="Times New Roman" w:hAnsi="Times New Roman"/>
          <w:sz w:val="21"/>
          <w:szCs w:val="21"/>
          <w:color w:val="auto"/>
        </w:rPr>
      </w:pPr>
    </w:p>
    <w:p>
      <w:pPr>
        <w:ind w:left="-20" w:right="220" w:firstLine="1188"/>
        <w:spacing w:after="0" w:line="230" w:lineRule="auto"/>
        <w:tabs>
          <w:tab w:leader="none" w:pos="1869"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46" w:lineRule="exact"/>
        <w:rPr>
          <w:rFonts w:ascii="Times New Roman" w:cs="Times New Roman" w:eastAsia="Times New Roman" w:hAnsi="Times New Roman"/>
          <w:sz w:val="21"/>
          <w:szCs w:val="21"/>
          <w:color w:val="auto"/>
        </w:rPr>
      </w:pPr>
    </w:p>
    <w:p>
      <w:pPr>
        <w:ind w:left="-20" w:right="140" w:firstLine="1188"/>
        <w:spacing w:after="0" w:line="230" w:lineRule="auto"/>
        <w:tabs>
          <w:tab w:leader="none" w:pos="1868"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not be liable under this Agreement to make any payment of amounts otherwise subject to indemnification or contribution hereunder if and to the extent that Indemnitee has otherwise actually received such payment under any insurance policy, contract, agreement or otherwise.</w:t>
      </w:r>
    </w:p>
    <w:p>
      <w:pPr>
        <w:spacing w:after="0" w:line="146" w:lineRule="exact"/>
        <w:rPr>
          <w:rFonts w:ascii="Times New Roman" w:cs="Times New Roman" w:eastAsia="Times New Roman" w:hAnsi="Times New Roman"/>
          <w:sz w:val="21"/>
          <w:szCs w:val="21"/>
          <w:color w:val="auto"/>
        </w:rPr>
      </w:pPr>
    </w:p>
    <w:p>
      <w:pPr>
        <w:ind w:left="-20" w:right="40" w:firstLine="1188"/>
        <w:spacing w:after="0" w:line="221" w:lineRule="auto"/>
        <w:tabs>
          <w:tab w:leader="none" w:pos="1869"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Company’s obligation to indemnify, make contributions for or advance Expenses hereunder to Indemnitee for serving at the request of the Company as a director, officer, employee, agent or fiduciary of any other corporation, partnership, joint venture, trust, employee benefit plan or other enterprise shall be reduced by any amount Indemnitee has actually received as indemnification, contribution or advancement of expenses from such other corporation, partnership, joint venture, trust, employee benefit plan or other enterprise.</w:t>
      </w:r>
    </w:p>
    <w:p>
      <w:pPr>
        <w:spacing w:after="0" w:line="149" w:lineRule="exact"/>
        <w:rPr>
          <w:rFonts w:ascii="Times New Roman" w:cs="Times New Roman" w:eastAsia="Times New Roman" w:hAnsi="Times New Roman"/>
          <w:sz w:val="21"/>
          <w:szCs w:val="21"/>
          <w:color w:val="auto"/>
        </w:rPr>
      </w:pPr>
    </w:p>
    <w:p>
      <w:pPr>
        <w:ind w:left="-20" w:right="380" w:firstLine="636"/>
        <w:spacing w:after="0" w:line="230" w:lineRule="auto"/>
        <w:tabs>
          <w:tab w:leader="none" w:pos="1242"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Exceptions to Rights of Indemnification and Contribution</w:t>
      </w:r>
      <w:r>
        <w:rPr>
          <w:rFonts w:ascii="Times New Roman" w:cs="Times New Roman" w:eastAsia="Times New Roman" w:hAnsi="Times New Roman"/>
          <w:sz w:val="21"/>
          <w:szCs w:val="21"/>
          <w:color w:val="auto"/>
        </w:rPr>
        <w:t>. Notwithstanding any provision in this Agreement, the Company shall not be obligated under this Agreement to make any indemnity or contribution in connection with any claim made against Indemnitee:</w:t>
      </w:r>
    </w:p>
    <w:p>
      <w:pPr>
        <w:spacing w:after="0" w:line="146" w:lineRule="exact"/>
        <w:rPr>
          <w:rFonts w:ascii="Times New Roman" w:cs="Times New Roman" w:eastAsia="Times New Roman" w:hAnsi="Times New Roman"/>
          <w:sz w:val="21"/>
          <w:szCs w:val="21"/>
          <w:color w:val="auto"/>
        </w:rPr>
      </w:pPr>
    </w:p>
    <w:p>
      <w:pPr>
        <w:ind w:left="-20" w:right="100" w:firstLine="1188"/>
        <w:spacing w:after="0" w:line="230" w:lineRule="auto"/>
        <w:tabs>
          <w:tab w:leader="none" w:pos="1869"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which payment has actually been made to or on behalf of Indemnitee under any insurance policy, contract, agreement or other indemnity or contribution provision, except with respect to any excess beyond the amount paid under any insurance policy or other indemnity or contribution provision;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20"/>
          </w:cols>
          <w:pgMar w:left="340" w:top="1361" w:right="339" w:bottom="1440" w:gutter="0" w:footer="0" w:header="0"/>
        </w:sectPr>
      </w:pPr>
    </w:p>
    <w:bookmarkStart w:id="97" w:name="page98"/>
    <w:bookmarkEnd w:id="97"/>
    <w:p>
      <w:pPr>
        <w:ind w:left="-20" w:firstLine="1188"/>
        <w:spacing w:after="0" w:line="215" w:lineRule="auto"/>
        <w:tabs>
          <w:tab w:leader="none" w:pos="1868"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(i) an accounting of profits made from the purchase and sale (or sale and purchase) by Indemnitee of securities within the meaning of Section 16(b) of the Securities Exchange Act of 1934, as amended (the “</w:t>
      </w:r>
      <w:r>
        <w:rPr>
          <w:rFonts w:ascii="Times New Roman" w:cs="Times New Roman" w:eastAsia="Times New Roman" w:hAnsi="Times New Roman"/>
          <w:sz w:val="21"/>
          <w:szCs w:val="21"/>
          <w:b w:val="1"/>
          <w:bCs w:val="1"/>
          <w:color w:val="auto"/>
        </w:rPr>
        <w:t>Exchange Act</w:t>
      </w:r>
      <w:r>
        <w:rPr>
          <w:rFonts w:ascii="Times New Roman" w:cs="Times New Roman" w:eastAsia="Times New Roman" w:hAnsi="Times New Roman"/>
          <w:sz w:val="21"/>
          <w:szCs w:val="21"/>
          <w:color w:val="auto"/>
        </w:rPr>
        <w:t>”), or similar provisions of state statutory law or common law; or (ii) any reimbursement of the Company by the Indemnitee of any bonus or other incentive-based or equity-based compensation or of any profits realized by the Indemnitee from the sale of securities, as required in each case under the Exchange Act (including any such reimbursements that may arise from an accounting restatement pursuant to Section 304 of the Sarbanes-Oxley Act of 2002 (the “</w:t>
      </w:r>
      <w:r>
        <w:rPr>
          <w:rFonts w:ascii="Times New Roman" w:cs="Times New Roman" w:eastAsia="Times New Roman" w:hAnsi="Times New Roman"/>
          <w:sz w:val="21"/>
          <w:szCs w:val="21"/>
          <w:b w:val="1"/>
          <w:bCs w:val="1"/>
          <w:color w:val="auto"/>
        </w:rPr>
        <w:t>Sarbanes-Oxley Act</w:t>
      </w:r>
      <w:r>
        <w:rPr>
          <w:rFonts w:ascii="Times New Roman" w:cs="Times New Roman" w:eastAsia="Times New Roman" w:hAnsi="Times New Roman"/>
          <w:sz w:val="21"/>
          <w:szCs w:val="21"/>
          <w:color w:val="auto"/>
        </w:rPr>
        <w:t>”), or the payment of profits arising from the purchase and sale by Indemnitee of securities in violation of Section 306 of the Sarbanes-Oxley Act) or (iii) any reimbursement by Indemnitee of any compensation pursuant to any compensation recoupment or clawback policy adopted by the Board or the compensation committee of the Board, including but not limited to any such policy adopted to comply with stock exchange listing requirements implementing Section 10D of the Exchange Act; or</w:t>
      </w:r>
    </w:p>
    <w:p>
      <w:pPr>
        <w:spacing w:after="0" w:line="149" w:lineRule="exact"/>
        <w:rPr>
          <w:rFonts w:ascii="Times New Roman" w:cs="Times New Roman" w:eastAsia="Times New Roman" w:hAnsi="Times New Roman"/>
          <w:sz w:val="21"/>
          <w:szCs w:val="21"/>
          <w:color w:val="auto"/>
        </w:rPr>
      </w:pPr>
    </w:p>
    <w:p>
      <w:pPr>
        <w:ind w:left="-20" w:right="240" w:firstLine="1188"/>
        <w:spacing w:after="0" w:line="218" w:lineRule="auto"/>
        <w:tabs>
          <w:tab w:leader="none" w:pos="1869"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provided in </w:t>
      </w:r>
      <w:r>
        <w:rPr>
          <w:rFonts w:ascii="Times New Roman" w:cs="Times New Roman" w:eastAsia="Times New Roman" w:hAnsi="Times New Roman"/>
          <w:sz w:val="21"/>
          <w:szCs w:val="21"/>
          <w:u w:val="single" w:color="auto"/>
          <w:color w:val="auto"/>
        </w:rPr>
        <w:t>Section 8(e)</w:t>
      </w:r>
      <w:r>
        <w:rPr>
          <w:rFonts w:ascii="Times New Roman" w:cs="Times New Roman" w:eastAsia="Times New Roman" w:hAnsi="Times New Roman"/>
          <w:sz w:val="21"/>
          <w:szCs w:val="21"/>
          <w:color w:val="auto"/>
        </w:rPr>
        <w:t xml:space="preserve"> of this Agreement, in connection with any Proceeding (or any part of any Proceeding) initiated by Indemnitee, including any Proceeding (or any part of any Proceeding) initiated by Indemnitee against any Enterprise or its directors, officers, employees, agents, fiduciaries or other indemnitees, unless (i) the Board authorized the Proceeding (or any part of any Proceeding) prior to its initiation, (ii) such Proceeding arises in connection with any mandatory counterclaim or cross-claim brought or raised by Indemnitee in any Proceeding (or any part of any Proceeding), or (iii) such Proceeding is brought to establish or enforce a right to indemnification, advancement of Expenses, or contribution under this Agreement.</w:t>
      </w:r>
    </w:p>
    <w:p>
      <w:pPr>
        <w:spacing w:after="0" w:line="146" w:lineRule="exact"/>
        <w:rPr>
          <w:rFonts w:ascii="Times New Roman" w:cs="Times New Roman" w:eastAsia="Times New Roman" w:hAnsi="Times New Roman"/>
          <w:sz w:val="21"/>
          <w:szCs w:val="21"/>
          <w:color w:val="auto"/>
        </w:rPr>
      </w:pPr>
    </w:p>
    <w:p>
      <w:pPr>
        <w:ind w:left="-20" w:right="80" w:firstLine="636"/>
        <w:spacing w:after="0" w:line="215" w:lineRule="auto"/>
        <w:tabs>
          <w:tab w:leader="none" w:pos="1234"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Duration of Agreement</w:t>
      </w:r>
      <w:r>
        <w:rPr>
          <w:rFonts w:ascii="Times New Roman" w:cs="Times New Roman" w:eastAsia="Times New Roman" w:hAnsi="Times New Roman"/>
          <w:sz w:val="21"/>
          <w:szCs w:val="21"/>
          <w:color w:val="auto"/>
        </w:rPr>
        <w:t xml:space="preserve">. All agreements and obligations of the Company contained herein shall continue during the period ending no less than five years after the Indemnitee ceases to serve as an officer or director of the Company (or is or was serving at the request of the Company as a director, officer, employee, agent or fiduciary of another corporation, partnership, joint venture, trust, employee benefit plan or other enterprise) and shall continue thereafter so long as Indemnitee shall have any potential liability in any Proceeding (or any proceeding commenced under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hereof) by reason of Indemnitee’s Corporate Status, whether or not such person is acting or serving in any such capacity at the time any liability or expense is incurred for which indemnification, advancement of Expenses or contribution can be provided under this Agreement. This Agreement shall be binding upon and inure to the benefit of and be enforceable by the parties hereto and their respective successors (including any direct or indirect successor by purchase, merger, consolidation or otherwise to all or substantially all of the business or assets of the Company), assigns, spouses, heirs, executors and personal and legal representatives.</w:t>
      </w:r>
    </w:p>
    <w:p>
      <w:pPr>
        <w:spacing w:after="0" w:line="149" w:lineRule="exact"/>
        <w:rPr>
          <w:rFonts w:ascii="Times New Roman" w:cs="Times New Roman" w:eastAsia="Times New Roman" w:hAnsi="Times New Roman"/>
          <w:sz w:val="21"/>
          <w:szCs w:val="21"/>
          <w:color w:val="auto"/>
        </w:rPr>
      </w:pPr>
    </w:p>
    <w:p>
      <w:pPr>
        <w:ind w:left="-20" w:right="140" w:firstLine="636"/>
        <w:spacing w:after="0" w:line="225" w:lineRule="auto"/>
        <w:tabs>
          <w:tab w:leader="none" w:pos="1242"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Security</w:t>
      </w:r>
      <w:r>
        <w:rPr>
          <w:rFonts w:ascii="Times New Roman" w:cs="Times New Roman" w:eastAsia="Times New Roman" w:hAnsi="Times New Roman"/>
          <w:sz w:val="21"/>
          <w:szCs w:val="21"/>
          <w:color w:val="auto"/>
        </w:rPr>
        <w:t>. To the extent requested by Indemnitee and 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w:t>
      </w:r>
    </w:p>
    <w:p>
      <w:pPr>
        <w:spacing w:after="0" w:line="145" w:lineRule="exact"/>
        <w:rPr>
          <w:rFonts w:ascii="Times New Roman" w:cs="Times New Roman" w:eastAsia="Times New Roman" w:hAnsi="Times New Roman"/>
          <w:sz w:val="21"/>
          <w:szCs w:val="21"/>
          <w:color w:val="auto"/>
        </w:rPr>
      </w:pPr>
    </w:p>
    <w:p>
      <w:pPr>
        <w:ind w:left="1240" w:hanging="624"/>
        <w:spacing w:after="0"/>
        <w:tabs>
          <w:tab w:leader="none" w:pos="1240"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Enforcement</w:t>
      </w:r>
      <w:r>
        <w:rPr>
          <w:rFonts w:ascii="Times New Roman" w:cs="Times New Roman" w:eastAsia="Times New Roman" w:hAnsi="Times New Roman"/>
          <w:sz w:val="21"/>
          <w:szCs w:val="21"/>
          <w:color w:val="auto"/>
        </w:rPr>
        <w:t>.</w:t>
      </w:r>
    </w:p>
    <w:p>
      <w:pPr>
        <w:spacing w:after="0" w:line="179" w:lineRule="exact"/>
        <w:rPr>
          <w:rFonts w:ascii="Times New Roman" w:cs="Times New Roman" w:eastAsia="Times New Roman" w:hAnsi="Times New Roman"/>
          <w:sz w:val="21"/>
          <w:szCs w:val="21"/>
          <w:color w:val="auto"/>
        </w:rPr>
      </w:pPr>
    </w:p>
    <w:p>
      <w:pPr>
        <w:ind w:left="-20" w:right="200" w:firstLine="1188"/>
        <w:spacing w:after="0" w:line="225" w:lineRule="auto"/>
        <w:tabs>
          <w:tab w:leader="none" w:pos="1869"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expressly confirms and agrees that it has entered into this Agreement and assumes the obligations imposed on it hereby in order to induce Indemnitee to serve as an officer or director of the Company, and the Company acknowledges that Indemnitee is relying upon this Agreement in serving as an officer or director of the Company or as an officer, director, employee, agent or fiduciary of another Enterprise.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00"/>
          </w:cols>
          <w:pgMar w:left="340" w:top="1361" w:right="359" w:bottom="1440" w:gutter="0" w:footer="0" w:header="0"/>
        </w:sectPr>
      </w:pPr>
    </w:p>
    <w:bookmarkStart w:id="98" w:name="page99"/>
    <w:bookmarkEnd w:id="98"/>
    <w:p>
      <w:pPr>
        <w:jc w:val="both"/>
        <w:ind w:left="-20" w:right="60" w:firstLine="1188"/>
        <w:spacing w:after="0" w:line="225" w:lineRule="auto"/>
        <w:tabs>
          <w:tab w:leader="none" w:pos="1868"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This Agreement constitutes the entire agreement between the parties hereto with respect to the subject matter hereof and supersedes all prior and contemporaneous agreements and understandings, oral, written and implied, between the parties hereto with respect to the subject matter hereof;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nothing in this Agreement shall affect any rights Indemnitee may have under the Certificate of Incorporation or Bylaws or under applicable laws.</w:t>
      </w:r>
    </w:p>
    <w:p>
      <w:pPr>
        <w:spacing w:after="0" w:line="145" w:lineRule="exact"/>
        <w:rPr>
          <w:rFonts w:ascii="Times New Roman" w:cs="Times New Roman" w:eastAsia="Times New Roman" w:hAnsi="Times New Roman"/>
          <w:sz w:val="21"/>
          <w:szCs w:val="21"/>
          <w:color w:val="auto"/>
        </w:rPr>
      </w:pPr>
    </w:p>
    <w:p>
      <w:pPr>
        <w:jc w:val="both"/>
        <w:ind w:left="-20" w:right="200" w:firstLine="1188"/>
        <w:spacing w:after="0" w:line="266" w:lineRule="auto"/>
        <w:tabs>
          <w:tab w:leader="none" w:pos="1869"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may be required by law, the Company shall not seek from a court, or agree to, a “bar order” which would have the effect of prohibiting or limiting the Indemnitee’s rights to receive advancement of Expenses under this Agreement.</w:t>
      </w:r>
    </w:p>
    <w:p>
      <w:pPr>
        <w:spacing w:after="0" w:line="121" w:lineRule="exact"/>
        <w:rPr>
          <w:rFonts w:ascii="Times New Roman" w:cs="Times New Roman" w:eastAsia="Times New Roman" w:hAnsi="Times New Roman"/>
          <w:sz w:val="20"/>
          <w:szCs w:val="20"/>
          <w:color w:val="auto"/>
        </w:rPr>
      </w:pPr>
    </w:p>
    <w:p>
      <w:pPr>
        <w:ind w:left="1240" w:hanging="624"/>
        <w:spacing w:after="0"/>
        <w:tabs>
          <w:tab w:leader="none" w:pos="124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For purposes of this Agreement:</w:t>
      </w:r>
    </w:p>
    <w:p>
      <w:pPr>
        <w:spacing w:after="0" w:line="175" w:lineRule="exact"/>
        <w:rPr>
          <w:rFonts w:ascii="Times New Roman" w:cs="Times New Roman" w:eastAsia="Times New Roman" w:hAnsi="Times New Roman"/>
          <w:sz w:val="21"/>
          <w:szCs w:val="21"/>
          <w:color w:val="auto"/>
        </w:rPr>
      </w:pPr>
    </w:p>
    <w:p>
      <w:pPr>
        <w:ind w:left="-20" w:right="80" w:firstLine="1188"/>
        <w:spacing w:after="0" w:line="226" w:lineRule="auto"/>
        <w:tabs>
          <w:tab w:leader="none" w:pos="1869"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Affiliate</w:t>
      </w:r>
      <w:r>
        <w:rPr>
          <w:rFonts w:ascii="Times New Roman" w:cs="Times New Roman" w:eastAsia="Times New Roman" w:hAnsi="Times New Roman"/>
          <w:sz w:val="21"/>
          <w:szCs w:val="21"/>
          <w:color w:val="auto"/>
        </w:rPr>
        <w:t>” of an Entity shall mean any other person or Entity owning, directly or indirectly, 50% or more of the outstanding capital stock (determined by aggregate voting rights) or other voting interests of such Entity, or in which such Entity or any such other person or Entity owns, directly or indirectly, 50% of the outstanding capital stock (determined by aggregate voting rights) or other voting interests.</w:t>
      </w:r>
    </w:p>
    <w:p>
      <w:pPr>
        <w:spacing w:after="0" w:line="141" w:lineRule="exact"/>
        <w:rPr>
          <w:rFonts w:ascii="Times New Roman" w:cs="Times New Roman" w:eastAsia="Times New Roman" w:hAnsi="Times New Roman"/>
          <w:sz w:val="21"/>
          <w:szCs w:val="21"/>
          <w:color w:val="auto"/>
        </w:rPr>
      </w:pPr>
    </w:p>
    <w:p>
      <w:pPr>
        <w:ind w:left="-20" w:right="60" w:firstLine="1188"/>
        <w:spacing w:after="0" w:line="222" w:lineRule="auto"/>
        <w:tabs>
          <w:tab w:leader="none" w:pos="1868"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Beneficial Owner</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color w:val="auto"/>
        </w:rPr>
        <w:t>Beneficial Ownership</w:t>
      </w:r>
      <w:r>
        <w:rPr>
          <w:rFonts w:ascii="Times New Roman" w:cs="Times New Roman" w:eastAsia="Times New Roman" w:hAnsi="Times New Roman"/>
          <w:sz w:val="21"/>
          <w:szCs w:val="21"/>
          <w:color w:val="auto"/>
        </w:rPr>
        <w:t xml:space="preserve">” shall have the meanings given to such terms in Rule 13d-3 under the Exchange Act;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w:t>
      </w:r>
      <w:r>
        <w:rPr>
          <w:rFonts w:ascii="Times New Roman" w:cs="Times New Roman" w:eastAsia="Times New Roman" w:hAnsi="Times New Roman"/>
          <w:sz w:val="21"/>
          <w:szCs w:val="21"/>
          <w:b w:val="1"/>
          <w:bCs w:val="1"/>
          <w:color w:val="auto"/>
        </w:rPr>
        <w:t>Beneficial Owner</w:t>
      </w:r>
      <w:r>
        <w:rPr>
          <w:rFonts w:ascii="Times New Roman" w:cs="Times New Roman" w:eastAsia="Times New Roman" w:hAnsi="Times New Roman"/>
          <w:sz w:val="21"/>
          <w:szCs w:val="21"/>
          <w:color w:val="auto"/>
        </w:rPr>
        <w:t>” shall exclude any Person otherwise becoming a Beneficial Owner solely by reason of (i) the stockholders of the Company approving a Business Combination or entering into tender or support agreements relating thereto, provided such Business Combination was approved by the Board, or (ii) the Board’s approving a sale of securities by the Company to such Person.</w:t>
      </w:r>
    </w:p>
    <w:p>
      <w:pPr>
        <w:spacing w:after="0" w:line="144" w:lineRule="exact"/>
        <w:rPr>
          <w:rFonts w:ascii="Times New Roman" w:cs="Times New Roman" w:eastAsia="Times New Roman" w:hAnsi="Times New Roman"/>
          <w:sz w:val="21"/>
          <w:szCs w:val="21"/>
          <w:color w:val="auto"/>
        </w:rPr>
      </w:pPr>
    </w:p>
    <w:p>
      <w:pPr>
        <w:ind w:left="-20" w:firstLine="1188"/>
        <w:spacing w:after="0" w:line="246" w:lineRule="auto"/>
        <w:tabs>
          <w:tab w:leader="none" w:pos="1869"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w:t>
      </w:r>
      <w:r>
        <w:rPr>
          <w:rFonts w:ascii="Times New Roman" w:cs="Times New Roman" w:eastAsia="Times New Roman" w:hAnsi="Times New Roman"/>
          <w:sz w:val="21"/>
          <w:szCs w:val="21"/>
          <w:b w:val="1"/>
          <w:bCs w:val="1"/>
          <w:color w:val="auto"/>
        </w:rPr>
        <w:t>Change of Control</w:t>
      </w:r>
      <w:r>
        <w:rPr>
          <w:rFonts w:ascii="Times New Roman" w:cs="Times New Roman" w:eastAsia="Times New Roman" w:hAnsi="Times New Roman"/>
          <w:sz w:val="21"/>
          <w:szCs w:val="21"/>
          <w:color w:val="auto"/>
        </w:rPr>
        <w:t>” shall be deemed to occur upon the earliest to occur after the date of this Agreement of any of the following events:</w:t>
      </w:r>
    </w:p>
    <w:p>
      <w:pPr>
        <w:spacing w:after="0" w:line="139" w:lineRule="exact"/>
        <w:rPr>
          <w:rFonts w:ascii="Times New Roman" w:cs="Times New Roman" w:eastAsia="Times New Roman" w:hAnsi="Times New Roman"/>
          <w:sz w:val="21"/>
          <w:szCs w:val="21"/>
          <w:color w:val="auto"/>
        </w:rPr>
      </w:pPr>
    </w:p>
    <w:p>
      <w:pPr>
        <w:ind w:left="620" w:right="40" w:firstLine="1258"/>
        <w:spacing w:after="0" w:line="218" w:lineRule="auto"/>
        <w:tabs>
          <w:tab w:leader="none" w:pos="2501" w:val="left"/>
        </w:tabs>
        <w:numPr>
          <w:ilvl w:val="2"/>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Acquisition of Stock by Third Party</w:t>
      </w:r>
      <w:r>
        <w:rPr>
          <w:rFonts w:ascii="Times New Roman" w:cs="Times New Roman" w:eastAsia="Times New Roman" w:hAnsi="Times New Roman"/>
          <w:sz w:val="21"/>
          <w:szCs w:val="21"/>
          <w:color w:val="auto"/>
        </w:rPr>
        <w:t xml:space="preserve">. Any Person acquires Beneficial Ownership, directly or indirectly, of securities representing fifty (50%) or more of the combined voting power of the Company’s then-outstanding securities entitled to vote generally in the election of directors, unless (1) the change in percentage Beneficial Ownership of the Company’s securities by such Person results solely from a reduction in the aggregate number or voting power of outstanding shares of securities entitled to vote generally in the election of directors, or (2) such acquisition was approved in advance by the Incumbent Directors (as defined below) and such acquisition does not constitute a Change of Control under </w:t>
      </w:r>
      <w:r>
        <w:rPr>
          <w:rFonts w:ascii="Times New Roman" w:cs="Times New Roman" w:eastAsia="Times New Roman" w:hAnsi="Times New Roman"/>
          <w:sz w:val="21"/>
          <w:szCs w:val="21"/>
          <w:u w:val="single" w:color="auto"/>
          <w:color w:val="auto"/>
        </w:rPr>
        <w:t>Section 14(c)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(iii)</w:t>
      </w:r>
      <w:r>
        <w:rPr>
          <w:rFonts w:ascii="Times New Roman" w:cs="Times New Roman" w:eastAsia="Times New Roman" w:hAnsi="Times New Roman"/>
          <w:sz w:val="21"/>
          <w:szCs w:val="21"/>
          <w:color w:val="auto"/>
        </w:rPr>
        <w:t>;</w:t>
      </w:r>
    </w:p>
    <w:p>
      <w:pPr>
        <w:spacing w:after="0" w:line="146" w:lineRule="exact"/>
        <w:rPr>
          <w:rFonts w:ascii="Times New Roman" w:cs="Times New Roman" w:eastAsia="Times New Roman" w:hAnsi="Times New Roman"/>
          <w:sz w:val="21"/>
          <w:szCs w:val="21"/>
          <w:color w:val="auto"/>
        </w:rPr>
      </w:pPr>
    </w:p>
    <w:p>
      <w:pPr>
        <w:ind w:left="620" w:right="20" w:firstLine="1258"/>
        <w:spacing w:after="0" w:line="215" w:lineRule="auto"/>
        <w:tabs>
          <w:tab w:leader="none" w:pos="2507" w:val="left"/>
        </w:tabs>
        <w:numPr>
          <w:ilvl w:val="2"/>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Board of Directors</w:t>
      </w:r>
      <w:r>
        <w:rPr>
          <w:rFonts w:ascii="Times New Roman" w:cs="Times New Roman" w:eastAsia="Times New Roman" w:hAnsi="Times New Roman"/>
          <w:sz w:val="21"/>
          <w:szCs w:val="21"/>
          <w:color w:val="auto"/>
        </w:rPr>
        <w:t>. During any period of two consecutive years (not including any period prior to the execution of this Agreement), the individuals who at the beginning of such period constituted the Board (the “</w:t>
      </w:r>
      <w:r>
        <w:rPr>
          <w:rFonts w:ascii="Times New Roman" w:cs="Times New Roman" w:eastAsia="Times New Roman" w:hAnsi="Times New Roman"/>
          <w:sz w:val="21"/>
          <w:szCs w:val="21"/>
          <w:b w:val="1"/>
          <w:bCs w:val="1"/>
          <w:color w:val="auto"/>
        </w:rPr>
        <w:t>Incumbent Directors</w:t>
      </w:r>
      <w:r>
        <w:rPr>
          <w:rFonts w:ascii="Times New Roman" w:cs="Times New Roman" w:eastAsia="Times New Roman" w:hAnsi="Times New Roman"/>
          <w:sz w:val="21"/>
          <w:szCs w:val="21"/>
          <w:color w:val="auto"/>
        </w:rPr>
        <w:t>”) cease for any reason to constitute at least a majority of the Board. The term “</w:t>
      </w:r>
      <w:r>
        <w:rPr>
          <w:rFonts w:ascii="Times New Roman" w:cs="Times New Roman" w:eastAsia="Times New Roman" w:hAnsi="Times New Roman"/>
          <w:sz w:val="21"/>
          <w:szCs w:val="21"/>
          <w:b w:val="1"/>
          <w:bCs w:val="1"/>
          <w:color w:val="auto"/>
        </w:rPr>
        <w:t>Incumbent Director</w:t>
      </w:r>
      <w:r>
        <w:rPr>
          <w:rFonts w:ascii="Times New Roman" w:cs="Times New Roman" w:eastAsia="Times New Roman" w:hAnsi="Times New Roman"/>
          <w:sz w:val="21"/>
          <w:szCs w:val="21"/>
          <w:color w:val="auto"/>
        </w:rPr>
        <w:t>” shall be deemed to (1) include any person who becomes a director of the Company after the beginning of such period if such person’s election or nomination for election as a director of the Company was approved by a vote of at least a majority of the Incumbent Directors on the Board at the time of such vote (either by a specific vote or by approval of the proxy statement of the Company in which such person is named as a nominee for director of the Company (excluding any Incumbent Director who approved such proxy statement but objected to such nomination at the time of such vote, as reflected in the minutes of the relevant meeting)) and (2) exclude (A) any person initially elected or nominated for election as a director of the Company as a result of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00"/>
          </w:cols>
          <w:pgMar w:left="340" w:top="1361" w:right="359" w:bottom="1440" w:gutter="0" w:footer="0" w:header="0"/>
        </w:sectPr>
      </w:pPr>
    </w:p>
    <w:bookmarkStart w:id="99" w:name="page100"/>
    <w:bookmarkEnd w:id="99"/>
    <w:p>
      <w:pPr>
        <w:spacing w:after="0" w:line="225" w:lineRule="auto"/>
        <w:rPr>
          <w:sz w:val="20"/>
          <w:szCs w:val="20"/>
          <w:color w:val="auto"/>
        </w:rPr>
      </w:pPr>
      <w:r>
        <w:rPr>
          <w:rFonts w:ascii="Times New Roman" w:cs="Times New Roman" w:eastAsia="Times New Roman" w:hAnsi="Times New Roman"/>
          <w:sz w:val="21"/>
          <w:szCs w:val="21"/>
          <w:color w:val="auto"/>
        </w:rPr>
        <w:t xml:space="preserve">actual or threatened election contest with respect to directors of the Company or as a result of any other actual or threatened solicitation of proxies by or on behalf of any person other than the Board and (B) any person designated by a person who has entered into an agreement with the Company to effect a transaction described in </w:t>
      </w:r>
      <w:r>
        <w:rPr>
          <w:rFonts w:ascii="Times New Roman" w:cs="Times New Roman" w:eastAsia="Times New Roman" w:hAnsi="Times New Roman"/>
          <w:sz w:val="21"/>
          <w:szCs w:val="21"/>
          <w:u w:val="single" w:color="auto"/>
          <w:color w:val="auto"/>
        </w:rPr>
        <w:t>Section 14(c)(i)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14(c)(iii)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14(c)(iv)</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14(c)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(v)</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jc w:val="both"/>
        <w:ind w:firstLine="1258"/>
        <w:spacing w:after="0" w:line="225" w:lineRule="auto"/>
        <w:tabs>
          <w:tab w:leader="none" w:pos="1892"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Business Combinations</w:t>
      </w:r>
      <w:r>
        <w:rPr>
          <w:rFonts w:ascii="Times New Roman" w:cs="Times New Roman" w:eastAsia="Times New Roman" w:hAnsi="Times New Roman"/>
          <w:sz w:val="21"/>
          <w:szCs w:val="21"/>
          <w:color w:val="auto"/>
        </w:rPr>
        <w:t>. The effective date of a merger, consolidation, exchange of securities, issuance of securities, reorganization, recapitalization or similar form of corporate transaction (or series of such transactions) involving the Company (or any of its Affiliates) and one or more other businesses (a “</w:t>
      </w:r>
      <w:r>
        <w:rPr>
          <w:rFonts w:ascii="Times New Roman" w:cs="Times New Roman" w:eastAsia="Times New Roman" w:hAnsi="Times New Roman"/>
          <w:sz w:val="21"/>
          <w:szCs w:val="21"/>
          <w:b w:val="1"/>
          <w:bCs w:val="1"/>
          <w:color w:val="auto"/>
        </w:rPr>
        <w:t>Business Combination</w:t>
      </w:r>
      <w:r>
        <w:rPr>
          <w:rFonts w:ascii="Times New Roman" w:cs="Times New Roman" w:eastAsia="Times New Roman" w:hAnsi="Times New Roman"/>
          <w:sz w:val="21"/>
          <w:szCs w:val="21"/>
          <w:color w:val="auto"/>
        </w:rPr>
        <w:t>”), unless immediately following such Business Combination:</w:t>
      </w:r>
    </w:p>
    <w:p>
      <w:pPr>
        <w:spacing w:after="0" w:line="145" w:lineRule="exact"/>
        <w:rPr>
          <w:rFonts w:ascii="Times New Roman" w:cs="Times New Roman" w:eastAsia="Times New Roman" w:hAnsi="Times New Roman"/>
          <w:sz w:val="21"/>
          <w:szCs w:val="21"/>
          <w:color w:val="auto"/>
        </w:rPr>
      </w:pPr>
    </w:p>
    <w:p>
      <w:pPr>
        <w:ind w:left="620" w:right="20" w:firstLine="1269"/>
        <w:spacing w:after="0" w:line="213" w:lineRule="auto"/>
        <w:tabs>
          <w:tab w:leader="none" w:pos="2508"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voting securities of the Company outstanding immediately prior to such Business Combination (assuming the exercise, conversion or exchange of all securities then exercisable, convertible or exchangeable for any such voting securities, after giving effect to any acceleration of vesting thereof occurring before or upon such Business Combination) continue to represent (either by remaining outstanding or by being converted into voting securities of either (A) the Entity surviving or resulting from such Business Combination (the “</w:t>
      </w:r>
      <w:r>
        <w:rPr>
          <w:rFonts w:ascii="Times New Roman" w:cs="Times New Roman" w:eastAsia="Times New Roman" w:hAnsi="Times New Roman"/>
          <w:sz w:val="21"/>
          <w:szCs w:val="21"/>
          <w:b w:val="1"/>
          <w:bCs w:val="1"/>
          <w:color w:val="auto"/>
        </w:rPr>
        <w:t>Surviving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Entity</w:t>
      </w:r>
      <w:r>
        <w:rPr>
          <w:rFonts w:ascii="Times New Roman" w:cs="Times New Roman" w:eastAsia="Times New Roman" w:hAnsi="Times New Roman"/>
          <w:sz w:val="21"/>
          <w:szCs w:val="21"/>
          <w:color w:val="auto"/>
        </w:rPr>
        <w:t>”), or (B) if applicable, the ultimate parent Entity that directly or indirectly has Beneficial Ownership of at least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 majority of the voting securities eligible to elect directors (or the nearest equivalent) of the Surviving Entity (the “</w:t>
      </w:r>
      <w:r>
        <w:rPr>
          <w:rFonts w:ascii="Times New Roman" w:cs="Times New Roman" w:eastAsia="Times New Roman" w:hAnsi="Times New Roman"/>
          <w:sz w:val="21"/>
          <w:szCs w:val="21"/>
          <w:b w:val="1"/>
          <w:bCs w:val="1"/>
          <w:color w:val="auto"/>
        </w:rPr>
        <w:t>Parent Entity</w:t>
      </w:r>
      <w:r>
        <w:rPr>
          <w:rFonts w:ascii="Times New Roman" w:cs="Times New Roman" w:eastAsia="Times New Roman" w:hAnsi="Times New Roman"/>
          <w:sz w:val="21"/>
          <w:szCs w:val="21"/>
          <w:color w:val="auto"/>
        </w:rPr>
        <w:t>”)) at least a majority of the total voting power of the Parent Entity (or, if there is no Parent Entity, the Surviving Entity) immediately after such Business Combination (assuming the exercise, conversion or exchange of all securities then exercisable, convertible or exchangeable for any securities having such voting power, after giving effect to any acceleration of vesting thereof occurring before or upon such Business Combination), and such voting power among the holders thereof is in substantially the same proportion as the voting power of such voting securities of the Company among the holders thereof immediately prior to the Business Combination (assuming the exercise, conversion or exchange of all securities then exercisable, convertible or exchangeable for any such voting securities, after giving effect to any acceleration of vesting thereof occurring before or upon such Business Combination);</w:t>
      </w:r>
    </w:p>
    <w:p>
      <w:pPr>
        <w:spacing w:after="0" w:line="150" w:lineRule="exact"/>
        <w:rPr>
          <w:rFonts w:ascii="Times New Roman" w:cs="Times New Roman" w:eastAsia="Times New Roman" w:hAnsi="Times New Roman"/>
          <w:sz w:val="21"/>
          <w:szCs w:val="21"/>
          <w:color w:val="auto"/>
        </w:rPr>
      </w:pPr>
    </w:p>
    <w:p>
      <w:pPr>
        <w:ind w:left="620" w:right="180" w:firstLine="1269"/>
        <w:spacing w:after="0" w:line="225" w:lineRule="auto"/>
        <w:tabs>
          <w:tab w:leader="none" w:pos="2508"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Person (other than any employee benefit plan (or related trust) sponsored or maintained by the Surviving Entity, the Parent Entity or an Affiliate of either), is or becomes the Beneficial Owner, directly or indirectly, of 30% or more of the total voting power of the outstanding voting securities eligible to elect directors (or the nearest equivalent) of the Parent Entity (or, if there is no Parent Entity, the Surviving Entity); and</w:t>
      </w:r>
    </w:p>
    <w:p>
      <w:pPr>
        <w:spacing w:after="0" w:line="145" w:lineRule="exact"/>
        <w:rPr>
          <w:rFonts w:ascii="Times New Roman" w:cs="Times New Roman" w:eastAsia="Times New Roman" w:hAnsi="Times New Roman"/>
          <w:sz w:val="21"/>
          <w:szCs w:val="21"/>
          <w:color w:val="auto"/>
        </w:rPr>
      </w:pPr>
    </w:p>
    <w:p>
      <w:pPr>
        <w:ind w:left="620" w:right="240" w:firstLine="1269"/>
        <w:spacing w:after="0" w:line="225" w:lineRule="auto"/>
        <w:tabs>
          <w:tab w:leader="none" w:pos="2508"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least a majority of the members of the board of directors (or the nearest equivalent) of the Parent Entity (or, if there is no Parent Entity, the Surviving Entity) following the consummation of the Business Combination were Incumbent Directors at the time of the Board’s approval of the execution of the initial agreement providing for such Business Combination;</w:t>
      </w:r>
    </w:p>
    <w:p>
      <w:pPr>
        <w:spacing w:after="0" w:line="145" w:lineRule="exact"/>
        <w:rPr>
          <w:rFonts w:ascii="Times New Roman" w:cs="Times New Roman" w:eastAsia="Times New Roman" w:hAnsi="Times New Roman"/>
          <w:sz w:val="21"/>
          <w:szCs w:val="21"/>
          <w:color w:val="auto"/>
        </w:rPr>
      </w:pPr>
    </w:p>
    <w:p>
      <w:pPr>
        <w:ind w:right="60" w:firstLine="1258"/>
        <w:spacing w:after="0" w:line="225" w:lineRule="auto"/>
        <w:tabs>
          <w:tab w:leader="none" w:pos="1881"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Liquidation; Dissolution; Sale</w:t>
      </w:r>
      <w:r>
        <w:rPr>
          <w:rFonts w:ascii="Times New Roman" w:cs="Times New Roman" w:eastAsia="Times New Roman" w:hAnsi="Times New Roman"/>
          <w:sz w:val="21"/>
          <w:szCs w:val="21"/>
          <w:color w:val="auto"/>
        </w:rPr>
        <w:t>. The approval by the Company’s stockholders of a liquidation or the dissolution of the Company or an agreement or series of agreements for the sale, lease or disposition of all or substantially all of the Company’s consolidated assets, other than factoring current receivables or escrows due (or, if such stockholder approval is not required, the approval by the Board of a plan of liquidation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0600"/>
          </w:cols>
          <w:pgMar w:left="960" w:top="1361" w:right="339" w:bottom="1440"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21"/>
          <w:szCs w:val="21"/>
          <w:color w:val="auto"/>
        </w:rPr>
        <w:t>dissolution or a definitive agreement or series of definitive agreements for the sale, lease or disposition such assets); or</w:t>
      </w:r>
    </w:p>
    <w:p>
      <w:pPr>
        <w:spacing w:after="0" w:line="179" w:lineRule="exact"/>
        <w:rPr>
          <w:sz w:val="20"/>
          <w:szCs w:val="20"/>
          <w:color w:val="auto"/>
        </w:rPr>
      </w:pPr>
    </w:p>
    <w:p>
      <w:pPr>
        <w:jc w:val="both"/>
        <w:ind w:left="640" w:right="320" w:firstLine="1258"/>
        <w:spacing w:after="0" w:line="230" w:lineRule="auto"/>
        <w:tabs>
          <w:tab w:leader="none" w:pos="2528"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Events</w:t>
      </w:r>
      <w:r>
        <w:rPr>
          <w:rFonts w:ascii="Times New Roman" w:cs="Times New Roman" w:eastAsia="Times New Roman" w:hAnsi="Times New Roman"/>
          <w:sz w:val="21"/>
          <w:szCs w:val="21"/>
          <w:color w:val="auto"/>
        </w:rPr>
        <w:t>. Any other event of a nature that would be required to be reported in response to Item 6(e) of Schedule 14A of Regulation 14A (or in response to any similar item on any similar schedule or form) promulgated under the Exchange Act, whether or not the Company is then subject to such reporting requirement.</w:t>
      </w:r>
    </w:p>
    <w:p>
      <w:pPr>
        <w:spacing w:after="0" w:line="142" w:lineRule="exact"/>
        <w:rPr>
          <w:rFonts w:ascii="Times New Roman" w:cs="Times New Roman" w:eastAsia="Times New Roman" w:hAnsi="Times New Roman"/>
          <w:sz w:val="21"/>
          <w:szCs w:val="21"/>
          <w:color w:val="auto"/>
        </w:rPr>
      </w:pPr>
    </w:p>
    <w:p>
      <w:pPr>
        <w:ind w:right="20" w:firstLine="1188"/>
        <w:spacing w:after="0" w:line="222" w:lineRule="auto"/>
        <w:tabs>
          <w:tab w:leader="none" w:pos="1888"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Corporate Status</w:t>
      </w:r>
      <w:r>
        <w:rPr>
          <w:rFonts w:ascii="Times New Roman" w:cs="Times New Roman" w:eastAsia="Times New Roman" w:hAnsi="Times New Roman"/>
          <w:sz w:val="21"/>
          <w:szCs w:val="21"/>
          <w:color w:val="auto"/>
        </w:rPr>
        <w:t>” describes the status of a person who is or was a director, officer, employee, agent or fiduciary of the Company or of any other corporation, partnership, joint venture, trust, employee benefit plan or other enterprise, where such person is or was serving in such capacity at the express written request of the Company. Service as a director, officer, employee, agent or fiduciary of any Affiliate of the Company (other than a parent Entity) shall be deemed to be at the express written request of the Company.</w:t>
      </w:r>
    </w:p>
    <w:p>
      <w:pPr>
        <w:spacing w:after="0" w:line="144" w:lineRule="exact"/>
        <w:rPr>
          <w:rFonts w:ascii="Times New Roman" w:cs="Times New Roman" w:eastAsia="Times New Roman" w:hAnsi="Times New Roman"/>
          <w:sz w:val="21"/>
          <w:szCs w:val="21"/>
          <w:color w:val="auto"/>
        </w:rPr>
      </w:pPr>
    </w:p>
    <w:p>
      <w:pPr>
        <w:ind w:right="180" w:firstLine="1188"/>
        <w:spacing w:after="0" w:line="246" w:lineRule="auto"/>
        <w:tabs>
          <w:tab w:leader="none" w:pos="1889"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Disinterested Director</w:t>
      </w:r>
      <w:r>
        <w:rPr>
          <w:rFonts w:ascii="Times New Roman" w:cs="Times New Roman" w:eastAsia="Times New Roman" w:hAnsi="Times New Roman"/>
          <w:sz w:val="21"/>
          <w:szCs w:val="21"/>
          <w:color w:val="auto"/>
        </w:rPr>
        <w:t>” means a director of the Company who is not and was not a party to the Proceeding in respect of which indemnification is sought by Indemnitee.</w:t>
      </w:r>
    </w:p>
    <w:p>
      <w:pPr>
        <w:spacing w:after="0" w:line="135" w:lineRule="exact"/>
        <w:rPr>
          <w:rFonts w:ascii="Times New Roman" w:cs="Times New Roman" w:eastAsia="Times New Roman" w:hAnsi="Times New Roman"/>
          <w:sz w:val="21"/>
          <w:szCs w:val="21"/>
          <w:color w:val="auto"/>
        </w:rPr>
      </w:pPr>
    </w:p>
    <w:p>
      <w:pPr>
        <w:ind w:right="120" w:firstLine="1188"/>
        <w:spacing w:after="0" w:line="227" w:lineRule="auto"/>
        <w:tabs>
          <w:tab w:leader="none" w:pos="1892"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Enterprise</w:t>
      </w:r>
      <w:r>
        <w:rPr>
          <w:rFonts w:ascii="Times New Roman" w:cs="Times New Roman" w:eastAsia="Times New Roman" w:hAnsi="Times New Roman"/>
          <w:sz w:val="20"/>
          <w:szCs w:val="20"/>
          <w:color w:val="auto"/>
        </w:rPr>
        <w:t>” shall mean the Company and any other corporation, partnership, joint venture, trust, employee benefit plan or other enterprise that Indemnitee is or was serving at the express written request of the Company as a director, officer, employee, agent or fiduciary. For avoidance of doubt, the term “</w:t>
      </w:r>
      <w:r>
        <w:rPr>
          <w:rFonts w:ascii="Times New Roman" w:cs="Times New Roman" w:eastAsia="Times New Roman" w:hAnsi="Times New Roman"/>
          <w:sz w:val="20"/>
          <w:szCs w:val="20"/>
          <w:b w:val="1"/>
          <w:bCs w:val="1"/>
          <w:color w:val="auto"/>
        </w:rPr>
        <w:t>Enterprise</w:t>
      </w:r>
      <w:r>
        <w:rPr>
          <w:rFonts w:ascii="Times New Roman" w:cs="Times New Roman" w:eastAsia="Times New Roman" w:hAnsi="Times New Roman"/>
          <w:sz w:val="20"/>
          <w:szCs w:val="20"/>
          <w:color w:val="auto"/>
        </w:rPr>
        <w:t>” shall include, in addition to the resulting Entity, any constituent Entity (including any constituent of a constituent) absorbed in a consolidation or merger which, if its separate existence had continued, would have had power and authority to indemnify its directors, officers, employees, agents and fiduciaries, so that any person who is or was a director, officer, employee, agent or fiduciary of such constituent Entity, or is or was serving at the request of such constituent Entity as a director, officer, employee, agent or fiduciary of another corporation, partnership, joint venture, trust or other enterprise, shall stand in the same position under this Agreement with respect to the resulting or surviving Entity as such person would have with respect to such constituent Entity if its separate existence had continued.</w:t>
      </w:r>
    </w:p>
    <w:p>
      <w:pPr>
        <w:spacing w:after="0" w:line="145" w:lineRule="exact"/>
        <w:rPr>
          <w:rFonts w:ascii="Times New Roman" w:cs="Times New Roman" w:eastAsia="Times New Roman" w:hAnsi="Times New Roman"/>
          <w:sz w:val="20"/>
          <w:szCs w:val="20"/>
          <w:color w:val="auto"/>
        </w:rPr>
      </w:pPr>
    </w:p>
    <w:p>
      <w:pPr>
        <w:ind w:right="200" w:firstLine="1188"/>
        <w:spacing w:after="0" w:line="246" w:lineRule="auto"/>
        <w:tabs>
          <w:tab w:leader="none" w:pos="1888"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Entity</w:t>
      </w:r>
      <w:r>
        <w:rPr>
          <w:rFonts w:ascii="Times New Roman" w:cs="Times New Roman" w:eastAsia="Times New Roman" w:hAnsi="Times New Roman"/>
          <w:sz w:val="21"/>
          <w:szCs w:val="21"/>
          <w:color w:val="auto"/>
        </w:rPr>
        <w:t>” shall mean any corporation, partnership, firm, limited liability company, business trust, association, joint venture, unincorporated organization or other company or business organization or entity.</w:t>
      </w:r>
    </w:p>
    <w:p>
      <w:pPr>
        <w:spacing w:after="0" w:line="135" w:lineRule="exact"/>
        <w:rPr>
          <w:rFonts w:ascii="Times New Roman" w:cs="Times New Roman" w:eastAsia="Times New Roman" w:hAnsi="Times New Roman"/>
          <w:sz w:val="21"/>
          <w:szCs w:val="21"/>
          <w:color w:val="auto"/>
        </w:rPr>
      </w:pPr>
    </w:p>
    <w:p>
      <w:pPr>
        <w:ind w:firstLine="1188"/>
        <w:spacing w:after="0" w:line="214" w:lineRule="auto"/>
        <w:tabs>
          <w:tab w:leader="none" w:pos="1888"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Expenses</w:t>
      </w:r>
      <w:r>
        <w:rPr>
          <w:rFonts w:ascii="Times New Roman" w:cs="Times New Roman" w:eastAsia="Times New Roman" w:hAnsi="Times New Roman"/>
          <w:sz w:val="21"/>
          <w:szCs w:val="21"/>
          <w:color w:val="auto"/>
        </w:rPr>
        <w:t xml:space="preserve">” shall include all reasonable attorneys’ fees, retainers, court costs, transcript costs, fees of experts, witness fees, travel expenses, duplicating costs, printing and binding costs, telephone charges, postage, delivery service fees, ERISA excise taxes and penalties and all other disbursements or expenses of the types customarily incurred in connection with prosecuting, defending, preparing to prosecute or defend, investigating, participating, or being or preparing to be a witness in a Proceeding, or responding to, or objecting to, a request to provide discovery in any Proceeding. Expenses also shall include (i) Expenses incurred in connection with any appeal resulting from any Proceeding and any federal, state, local or foreign taxes imposed on the Indemnitee as a result of the actual or deemed receipt of any payments under this Agreement, including without limitation the premium, security for, and other costs relating to any cost bond, supersedeas bond, or other appeal bond or its equivalent, (ii) Expenses incurred in connection with recovery under any directors’ and officers’ liability insurance policies maintained by the Company, regardless of whether Indemnitee is ultimately determined to be entitled to such indemnification, advancement or Expenses or insurance recovery, as the case may be, and (iii) for purposes of </w:t>
      </w:r>
      <w:r>
        <w:rPr>
          <w:rFonts w:ascii="Times New Roman" w:cs="Times New Roman" w:eastAsia="Times New Roman" w:hAnsi="Times New Roman"/>
          <w:sz w:val="21"/>
          <w:szCs w:val="21"/>
          <w:u w:val="single" w:color="auto"/>
          <w:color w:val="auto"/>
        </w:rPr>
        <w:t>Section 8(e)</w:t>
      </w:r>
      <w:r>
        <w:rPr>
          <w:rFonts w:ascii="Times New Roman" w:cs="Times New Roman" w:eastAsia="Times New Roman" w:hAnsi="Times New Roman"/>
          <w:sz w:val="21"/>
          <w:szCs w:val="21"/>
          <w:color w:val="auto"/>
        </w:rPr>
        <w:t xml:space="preserve"> only, Expenses incurred by Indemnitee in connection with the interpretation, enforcement or defense of Indemnitee’s rights under this Agreement, the Certificate of Incorporation, the Bylaws or under any directors’ and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361" w:right="339" w:bottom="1440" w:gutter="0" w:footer="0" w:header="0"/>
        </w:sectPr>
      </w:pPr>
    </w:p>
    <w:bookmarkStart w:id="101" w:name="page102"/>
    <w:bookmarkEnd w:id="101"/>
    <w:p>
      <w:pPr>
        <w:ind w:right="400"/>
        <w:spacing w:after="0" w:line="242" w:lineRule="auto"/>
        <w:rPr>
          <w:sz w:val="20"/>
          <w:szCs w:val="20"/>
          <w:color w:val="auto"/>
        </w:rPr>
      </w:pPr>
      <w:r>
        <w:rPr>
          <w:rFonts w:ascii="Times New Roman" w:cs="Times New Roman" w:eastAsia="Times New Roman" w:hAnsi="Times New Roman"/>
          <w:sz w:val="21"/>
          <w:szCs w:val="21"/>
          <w:color w:val="auto"/>
        </w:rPr>
        <w:t>liability insurance policies maintained by the Company, by litigation or otherwise. Expenses, however, shall not include amounts paid in settlement by Indemnitee or the amount of judgments or fines against Indemnitee.</w:t>
      </w:r>
    </w:p>
    <w:p>
      <w:pPr>
        <w:spacing w:after="0" w:line="140" w:lineRule="exact"/>
        <w:rPr>
          <w:sz w:val="20"/>
          <w:szCs w:val="20"/>
          <w:color w:val="auto"/>
        </w:rPr>
      </w:pPr>
    </w:p>
    <w:p>
      <w:pPr>
        <w:ind w:right="20" w:firstLine="1188"/>
        <w:spacing w:after="0" w:line="216" w:lineRule="auto"/>
        <w:tabs>
          <w:tab w:leader="none" w:pos="1881" w:val="left"/>
        </w:tabs>
        <w:numPr>
          <w:ilvl w:val="2"/>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Independent Counsel</w:t>
      </w:r>
      <w:r>
        <w:rPr>
          <w:rFonts w:ascii="Times New Roman" w:cs="Times New Roman" w:eastAsia="Times New Roman" w:hAnsi="Times New Roman"/>
          <w:sz w:val="21"/>
          <w:szCs w:val="21"/>
          <w:color w:val="auto"/>
        </w:rPr>
        <w:t>” means a law firm, or a member of a law firm, that is experienced in matters of corporation law and, at the time indemnification is sought by Indemnitee, neither is, nor in the previous five (5) years was,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w:t>
      </w:r>
      <w:r>
        <w:rPr>
          <w:rFonts w:ascii="Times New Roman" w:cs="Times New Roman" w:eastAsia="Times New Roman" w:hAnsi="Times New Roman"/>
          <w:sz w:val="21"/>
          <w:szCs w:val="21"/>
          <w:b w:val="1"/>
          <w:bCs w:val="1"/>
          <w:color w:val="auto"/>
        </w:rPr>
        <w:t>Independent Counsel</w:t>
      </w:r>
      <w:r>
        <w:rPr>
          <w:rFonts w:ascii="Times New Roman" w:cs="Times New Roman" w:eastAsia="Times New Roman" w:hAnsi="Times New Roman"/>
          <w:sz w:val="21"/>
          <w:szCs w:val="21"/>
          <w:color w:val="auto"/>
        </w:rPr>
        <w:t>”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of the Independent Counsel referred to above and to fully indemnify such counsel against any and all Expenses, claims, liabilities and damages arising out of or relating to this Agreement or its engagement pursuant hereto.</w:t>
      </w:r>
    </w:p>
    <w:p>
      <w:pPr>
        <w:spacing w:after="0" w:line="146" w:lineRule="exact"/>
        <w:rPr>
          <w:rFonts w:ascii="Times New Roman" w:cs="Times New Roman" w:eastAsia="Times New Roman" w:hAnsi="Times New Roman"/>
          <w:sz w:val="21"/>
          <w:szCs w:val="21"/>
          <w:color w:val="auto"/>
        </w:rPr>
      </w:pPr>
    </w:p>
    <w:p>
      <w:pPr>
        <w:ind w:right="60" w:firstLine="1188"/>
        <w:spacing w:after="0" w:line="218" w:lineRule="auto"/>
        <w:tabs>
          <w:tab w:leader="none" w:pos="1881" w:val="left"/>
        </w:tabs>
        <w:numPr>
          <w:ilvl w:val="2"/>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Person</w:t>
      </w:r>
      <w:r>
        <w:rPr>
          <w:rFonts w:ascii="Times New Roman" w:cs="Times New Roman" w:eastAsia="Times New Roman" w:hAnsi="Times New Roman"/>
          <w:sz w:val="21"/>
          <w:szCs w:val="21"/>
          <w:color w:val="auto"/>
        </w:rPr>
        <w:t xml:space="preserve">” shall have the meaning set forth in Sections 13(d) and 14(d) of the Exchange Act;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term “</w:t>
      </w:r>
      <w:r>
        <w:rPr>
          <w:rFonts w:ascii="Times New Roman" w:cs="Times New Roman" w:eastAsia="Times New Roman" w:hAnsi="Times New Roman"/>
          <w:sz w:val="21"/>
          <w:szCs w:val="21"/>
          <w:b w:val="1"/>
          <w:bCs w:val="1"/>
          <w:color w:val="auto"/>
        </w:rPr>
        <w:t>Person</w:t>
      </w:r>
      <w:r>
        <w:rPr>
          <w:rFonts w:ascii="Times New Roman" w:cs="Times New Roman" w:eastAsia="Times New Roman" w:hAnsi="Times New Roman"/>
          <w:sz w:val="21"/>
          <w:szCs w:val="21"/>
          <w:color w:val="auto"/>
        </w:rPr>
        <w:t>” shall exclude (i) the Company, (ii) any Affiliate of the Company, (iii) any Entity owned, directly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indirectly, by the stockholders of the Company in substantially the same proportions as their ownership of stock of the Company and</w:t>
      </w:r>
    </w:p>
    <w:p>
      <w:pPr>
        <w:ind w:right="120" w:firstLine="5"/>
        <w:spacing w:after="0" w:line="229" w:lineRule="auto"/>
        <w:tabs>
          <w:tab w:leader="none" w:pos="356"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trustee or other fiduciary holding securities under an employee benefit plan of any Entity described in the foregoing clauses (i), (ii) or (iii).</w:t>
      </w:r>
    </w:p>
    <w:p>
      <w:pPr>
        <w:spacing w:after="0" w:line="142" w:lineRule="exact"/>
        <w:rPr>
          <w:rFonts w:ascii="Times New Roman" w:cs="Times New Roman" w:eastAsia="Times New Roman" w:hAnsi="Times New Roman"/>
          <w:sz w:val="21"/>
          <w:szCs w:val="21"/>
          <w:color w:val="auto"/>
        </w:rPr>
      </w:pPr>
    </w:p>
    <w:p>
      <w:pPr>
        <w:ind w:right="80" w:firstLine="1188"/>
        <w:spacing w:after="0" w:line="216" w:lineRule="auto"/>
        <w:tabs>
          <w:tab w:leader="none" w:pos="1888" w:val="left"/>
        </w:tabs>
        <w:numPr>
          <w:ilvl w:val="2"/>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Proceeding</w:t>
      </w:r>
      <w:r>
        <w:rPr>
          <w:rFonts w:ascii="Times New Roman" w:cs="Times New Roman" w:eastAsia="Times New Roman" w:hAnsi="Times New Roman"/>
          <w:sz w:val="21"/>
          <w:szCs w:val="21"/>
          <w:color w:val="auto"/>
        </w:rPr>
        <w:t xml:space="preserve">” includes any threatened, pending or completed action, suit, claim, counterclaim, cross-claim, arbitration, mediation, alternate dispute resolution mechanism, investigation, inquiry, administrative hearing or any other actual, threatened or completed proceeding, whether brought by or in the right of the Company or otherwise and whether civil, criminal, administrative or investigative, including any appeal therefrom, in which Indemnitee was, is or will be involved as a party or otherwise, by reason of such person’s Corporate Status, by reason of any action taken by such person or of any inaction on such person’s part while acting in such Corporate Status; in each case whether or not such person is acting or serving in any such capacity at the time any liability or expense is incurred for which indemnification, reimbursement or advancement of Expenses or contribution can be provided under this Agreement; including one pending on or before the date of this Agreement, but excluding one initiated by an Indemnitee pursuant to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of this Agreement to enforce such person’s rights under this Agreement.</w:t>
      </w:r>
    </w:p>
    <w:p>
      <w:pPr>
        <w:spacing w:after="0" w:line="150" w:lineRule="exact"/>
        <w:rPr>
          <w:rFonts w:ascii="Times New Roman" w:cs="Times New Roman" w:eastAsia="Times New Roman" w:hAnsi="Times New Roman"/>
          <w:sz w:val="21"/>
          <w:szCs w:val="21"/>
          <w:color w:val="auto"/>
        </w:rPr>
      </w:pPr>
    </w:p>
    <w:p>
      <w:pPr>
        <w:jc w:val="both"/>
        <w:ind w:right="640" w:firstLine="636"/>
        <w:spacing w:after="0" w:line="230" w:lineRule="auto"/>
        <w:tabs>
          <w:tab w:leader="none" w:pos="1262"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Service as Officer</w:t>
      </w:r>
      <w:r>
        <w:rPr>
          <w:rFonts w:ascii="Times New Roman" w:cs="Times New Roman" w:eastAsia="Times New Roman" w:hAnsi="Times New Roman"/>
          <w:sz w:val="21"/>
          <w:szCs w:val="21"/>
          <w:color w:val="auto"/>
        </w:rPr>
        <w:t>. If Indemnitee is an officer of the Company, Indemnitee hereby agrees to be identified as an “officer” for purposes of Section 3114(b) of Title 10 of the Delaware Code. The Company acknowledges that, by virtue of the foregoing agreement, Indemnitee shall be an “officer” for purposes of Section 145(c) of the DGCL.</w:t>
      </w:r>
    </w:p>
    <w:p>
      <w:pPr>
        <w:spacing w:after="0" w:line="146" w:lineRule="exact"/>
        <w:rPr>
          <w:rFonts w:ascii="Times New Roman" w:cs="Times New Roman" w:eastAsia="Times New Roman" w:hAnsi="Times New Roman"/>
          <w:sz w:val="21"/>
          <w:szCs w:val="21"/>
          <w:color w:val="auto"/>
        </w:rPr>
      </w:pPr>
    </w:p>
    <w:p>
      <w:pPr>
        <w:ind w:right="140" w:firstLine="636"/>
        <w:spacing w:after="0" w:line="221" w:lineRule="auto"/>
        <w:tabs>
          <w:tab w:leader="none" w:pos="1262"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invalidity or unenforceability of any provision hereof shall in no way affect the validity or enforceability of any other provision. Without limiting the generality of the foregoing, this Agreement is intended to confer upon Indemnitee indemnification rights to the fullest extent permitted by applicable laws. In the event any provision hereof conflicts with any applicable law, such provision shall be deemed modified, consistent with the aforementioned intent, to the extent necessary to resolve such conflict.</w:t>
      </w:r>
    </w:p>
    <w:p>
      <w:pPr>
        <w:spacing w:after="0" w:line="149" w:lineRule="exact"/>
        <w:rPr>
          <w:rFonts w:ascii="Times New Roman" w:cs="Times New Roman" w:eastAsia="Times New Roman" w:hAnsi="Times New Roman"/>
          <w:sz w:val="21"/>
          <w:szCs w:val="21"/>
          <w:color w:val="auto"/>
        </w:rPr>
      </w:pPr>
    </w:p>
    <w:p>
      <w:pPr>
        <w:ind w:firstLine="636"/>
        <w:spacing w:after="0" w:line="242" w:lineRule="auto"/>
        <w:tabs>
          <w:tab w:leader="none" w:pos="1262"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Modification and Waiver</w:t>
      </w:r>
      <w:r>
        <w:rPr>
          <w:rFonts w:ascii="Times New Roman" w:cs="Times New Roman" w:eastAsia="Times New Roman" w:hAnsi="Times New Roman"/>
          <w:sz w:val="21"/>
          <w:szCs w:val="21"/>
          <w:color w:val="auto"/>
        </w:rPr>
        <w:t>. No supplement, modification, termination or amendment of this Agreement shall be binding unless executed in writing by both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361" w:right="339" w:bottom="1440" w:gutter="0" w:footer="0" w:header="0"/>
        </w:sectPr>
      </w:pPr>
    </w:p>
    <w:bookmarkStart w:id="102" w:name="page103"/>
    <w:bookmarkEnd w:id="102"/>
    <w:p>
      <w:pPr>
        <w:spacing w:after="0" w:line="230" w:lineRule="auto"/>
        <w:rPr>
          <w:sz w:val="20"/>
          <w:szCs w:val="20"/>
          <w:color w:val="auto"/>
        </w:rPr>
      </w:pPr>
      <w:r>
        <w:rPr>
          <w:rFonts w:ascii="Times New Roman" w:cs="Times New Roman" w:eastAsia="Times New Roman" w:hAnsi="Times New Roman"/>
          <w:sz w:val="21"/>
          <w:szCs w:val="21"/>
          <w:color w:val="auto"/>
        </w:rPr>
        <w:t>No waiver of any of the provisions of this Agreement shall be binding on a party unless executed in writing by such party, and no such waiver shall be deemed or shall constitute a waiver of any other provisions hereof (whether or not similar) nor shall such waiver constitute a continuing waiver.</w:t>
      </w:r>
    </w:p>
    <w:p>
      <w:pPr>
        <w:spacing w:after="0" w:line="147" w:lineRule="exact"/>
        <w:rPr>
          <w:sz w:val="20"/>
          <w:szCs w:val="20"/>
          <w:color w:val="auto"/>
        </w:rPr>
      </w:pPr>
    </w:p>
    <w:p>
      <w:pPr>
        <w:ind w:right="580" w:firstLine="636"/>
        <w:spacing w:after="0" w:line="230" w:lineRule="auto"/>
        <w:tabs>
          <w:tab w:leader="none" w:pos="1262"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By Indemnitee</w:t>
      </w:r>
      <w:r>
        <w:rPr>
          <w:rFonts w:ascii="Times New Roman" w:cs="Times New Roman" w:eastAsia="Times New Roman" w:hAnsi="Times New Roman"/>
          <w:sz w:val="21"/>
          <w:szCs w:val="21"/>
          <w:color w:val="auto"/>
        </w:rPr>
        <w:t>. Indemnitee agrees promptly to notify the Company in writing upon being served with or otherwise receiving any summons, citation, subpoena, complaint, indictment, information or other document relating to any Proceeding or matter which may be subject to indemnification covered hereunder.</w:t>
      </w:r>
    </w:p>
    <w:p>
      <w:pPr>
        <w:spacing w:after="0" w:line="146" w:lineRule="exact"/>
        <w:rPr>
          <w:rFonts w:ascii="Times New Roman" w:cs="Times New Roman" w:eastAsia="Times New Roman" w:hAnsi="Times New Roman"/>
          <w:sz w:val="21"/>
          <w:szCs w:val="21"/>
          <w:color w:val="auto"/>
        </w:rPr>
      </w:pPr>
    </w:p>
    <w:p>
      <w:pPr>
        <w:jc w:val="both"/>
        <w:ind w:right="40" w:firstLine="636"/>
        <w:spacing w:after="0" w:line="219" w:lineRule="auto"/>
        <w:tabs>
          <w:tab w:leader="none" w:pos="1262"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notices and other communications given or made pursuant to this Agreement shall be in writing and shall be deemed effectively given: (a) upon personal delivery to the party to be notified, (b) when sent by confirmed electronic mail if sent during normal business hours of the recipient, and if not so confirmed,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 to Indemnitee at the address set forth below Indemnitee’s signature hereto and to the Company at:</w:t>
      </w:r>
    </w:p>
    <w:p>
      <w:pPr>
        <w:spacing w:after="0" w:line="14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1"/>
          <w:szCs w:val="21"/>
          <w:color w:val="auto"/>
        </w:rPr>
        <w:t>KVH Industries, Inc.</w:t>
      </w:r>
    </w:p>
    <w:p>
      <w:pPr>
        <w:ind w:left="1400"/>
        <w:spacing w:after="0" w:line="209" w:lineRule="auto"/>
        <w:rPr>
          <w:sz w:val="20"/>
          <w:szCs w:val="20"/>
          <w:color w:val="auto"/>
        </w:rPr>
      </w:pPr>
      <w:r>
        <w:rPr>
          <w:rFonts w:ascii="Times New Roman" w:cs="Times New Roman" w:eastAsia="Times New Roman" w:hAnsi="Times New Roman"/>
          <w:sz w:val="21"/>
          <w:szCs w:val="21"/>
          <w:color w:val="auto"/>
        </w:rPr>
        <w:t>50 Enterprise Center</w:t>
      </w:r>
    </w:p>
    <w:p>
      <w:pPr>
        <w:ind w:left="1400"/>
        <w:spacing w:after="0" w:line="209" w:lineRule="auto"/>
        <w:rPr>
          <w:sz w:val="20"/>
          <w:szCs w:val="20"/>
          <w:color w:val="auto"/>
        </w:rPr>
      </w:pPr>
      <w:r>
        <w:rPr>
          <w:rFonts w:ascii="Times New Roman" w:cs="Times New Roman" w:eastAsia="Times New Roman" w:hAnsi="Times New Roman"/>
          <w:sz w:val="21"/>
          <w:szCs w:val="21"/>
          <w:color w:val="auto"/>
        </w:rPr>
        <w:t>Middletown RI 02842</w:t>
      </w:r>
    </w:p>
    <w:p>
      <w:pPr>
        <w:ind w:left="1400"/>
        <w:spacing w:after="0"/>
        <w:rPr>
          <w:sz w:val="20"/>
          <w:szCs w:val="20"/>
          <w:color w:val="auto"/>
        </w:rPr>
      </w:pPr>
      <w:r>
        <w:rPr>
          <w:rFonts w:ascii="Times New Roman" w:cs="Times New Roman" w:eastAsia="Times New Roman" w:hAnsi="Times New Roman"/>
          <w:sz w:val="21"/>
          <w:szCs w:val="21"/>
          <w:color w:val="auto"/>
        </w:rPr>
        <w:t>Attention: General Counsel</w:t>
      </w:r>
    </w:p>
    <w:p>
      <w:pPr>
        <w:spacing w:after="0" w:line="181" w:lineRule="exact"/>
        <w:rPr>
          <w:sz w:val="20"/>
          <w:szCs w:val="20"/>
          <w:color w:val="auto"/>
        </w:rPr>
      </w:pPr>
    </w:p>
    <w:p>
      <w:pPr>
        <w:ind w:right="300"/>
        <w:spacing w:after="0" w:line="242" w:lineRule="auto"/>
        <w:rPr>
          <w:sz w:val="20"/>
          <w:szCs w:val="20"/>
          <w:color w:val="auto"/>
        </w:rPr>
      </w:pPr>
      <w:r>
        <w:rPr>
          <w:rFonts w:ascii="Times New Roman" w:cs="Times New Roman" w:eastAsia="Times New Roman" w:hAnsi="Times New Roman"/>
          <w:sz w:val="21"/>
          <w:szCs w:val="21"/>
          <w:color w:val="auto"/>
        </w:rPr>
        <w:t>or to such other address as may have been furnished to Indemnitee by the Company or to the Company by Indemnitee, as the case may be.</w:t>
      </w:r>
    </w:p>
    <w:p>
      <w:pPr>
        <w:spacing w:after="0" w:line="144" w:lineRule="exact"/>
        <w:rPr>
          <w:sz w:val="20"/>
          <w:szCs w:val="20"/>
          <w:color w:val="auto"/>
        </w:rPr>
      </w:pPr>
    </w:p>
    <w:p>
      <w:pPr>
        <w:ind w:right="280" w:firstLine="636"/>
        <w:spacing w:after="0" w:line="221" w:lineRule="auto"/>
        <w:tabs>
          <w:tab w:leader="none" w:pos="1262"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one (1) or more counterparts, each of which shall be deemed an original, but all of which together shall constitute one and the same Agreement. Counterparts may be delivered via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49" w:lineRule="exact"/>
        <w:rPr>
          <w:rFonts w:ascii="Times New Roman" w:cs="Times New Roman" w:eastAsia="Times New Roman" w:hAnsi="Times New Roman"/>
          <w:sz w:val="21"/>
          <w:szCs w:val="21"/>
          <w:color w:val="auto"/>
        </w:rPr>
      </w:pPr>
    </w:p>
    <w:p>
      <w:pPr>
        <w:ind w:right="620" w:firstLine="636"/>
        <w:spacing w:after="0" w:line="242" w:lineRule="auto"/>
        <w:tabs>
          <w:tab w:leader="none" w:pos="1262"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 The headings of the paragraphs of this Agreement are inserted for convenience only and shall not be deemed to constitute part of this Agreement or to affect the construction thereof.</w:t>
      </w:r>
    </w:p>
    <w:p>
      <w:pPr>
        <w:spacing w:after="0" w:line="143" w:lineRule="exact"/>
        <w:rPr>
          <w:rFonts w:ascii="Times New Roman" w:cs="Times New Roman" w:eastAsia="Times New Roman" w:hAnsi="Times New Roman"/>
          <w:sz w:val="21"/>
          <w:szCs w:val="21"/>
          <w:color w:val="auto"/>
        </w:rPr>
      </w:pPr>
    </w:p>
    <w:p>
      <w:pPr>
        <w:ind w:right="80" w:firstLine="636"/>
        <w:spacing w:after="0" w:line="214" w:lineRule="auto"/>
        <w:tabs>
          <w:tab w:leader="none" w:pos="1262"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 and Consent to Jurisdiction</w:t>
      </w:r>
      <w:r>
        <w:rPr>
          <w:rFonts w:ascii="Times New Roman" w:cs="Times New Roman" w:eastAsia="Times New Roman" w:hAnsi="Times New Roman"/>
          <w:sz w:val="21"/>
          <w:szCs w:val="21"/>
          <w:color w:val="auto"/>
        </w:rPr>
        <w:t>. This Agreement and the legal relations among the parties shall be governed by, and construed and enforced in accordance with, the laws of the State of Delaware, without regard to its conflict of laws rules. The Company and Indemnitee hereby irrevocably and unconditionally (i) agree that any action, suit or proceeding arising out of or in connection with this Agreement shall be brought only in the Chancery Court of the State of Delaware (the “</w:t>
      </w:r>
      <w:r>
        <w:rPr>
          <w:rFonts w:ascii="Times New Roman" w:cs="Times New Roman" w:eastAsia="Times New Roman" w:hAnsi="Times New Roman"/>
          <w:sz w:val="21"/>
          <w:szCs w:val="21"/>
          <w:b w:val="1"/>
          <w:bCs w:val="1"/>
          <w:color w:val="auto"/>
        </w:rPr>
        <w:t>Delaware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Court</w:t>
      </w:r>
      <w:r>
        <w:rPr>
          <w:rFonts w:ascii="Times New Roman" w:cs="Times New Roman" w:eastAsia="Times New Roman" w:hAnsi="Times New Roman"/>
          <w:sz w:val="21"/>
          <w:szCs w:val="21"/>
          <w:color w:val="auto"/>
        </w:rPr>
        <w:t>”), and not in any other state or federal court in the United States of America or any court in any other country, (ii) consent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submit to the exclusive jurisdiction of the Delaware Court for purposes of any action, suit or proceeding arising out of or in connection with this Agreement, (iii) waive any objection to the laying of venue of any such action, suit or proceeding in the Delaware Court, and (iv) waive, and agree not to plead or to make, any claim that any such action, suit or proceeding brought in the Delaware Court has been brought in an improper or inconvenient forum, or is subject (in whole or in part) to a jury trial. To the fullest extent permitted by law, the parties hereby agree that the mailing of process and other papers in connection with any such action, suit or proceeding in the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361" w:right="339" w:bottom="1440" w:gutter="0" w:footer="0" w:header="0"/>
        </w:sectPr>
      </w:pPr>
    </w:p>
    <w:bookmarkStart w:id="103" w:name="page104"/>
    <w:bookmarkEnd w:id="103"/>
    <w:p>
      <w:pPr>
        <w:ind w:left="3440" w:hanging="4549"/>
        <w:spacing w:after="0" w:line="451" w:lineRule="auto"/>
        <w:rPr>
          <w:sz w:val="20"/>
          <w:szCs w:val="20"/>
          <w:color w:val="auto"/>
        </w:rPr>
      </w:pPr>
      <w:r>
        <w:rPr>
          <w:rFonts w:ascii="Times New Roman" w:cs="Times New Roman" w:eastAsia="Times New Roman" w:hAnsi="Times New Roman"/>
          <w:sz w:val="21"/>
          <w:szCs w:val="21"/>
          <w:color w:val="auto"/>
        </w:rPr>
        <w:t xml:space="preserve">provided by </w:t>
      </w:r>
      <w:r>
        <w:rPr>
          <w:rFonts w:ascii="Times New Roman" w:cs="Times New Roman" w:eastAsia="Times New Roman" w:hAnsi="Times New Roman"/>
          <w:sz w:val="21"/>
          <w:szCs w:val="21"/>
          <w:u w:val="single" w:color="auto"/>
          <w:color w:val="auto"/>
        </w:rPr>
        <w:t>Section 19</w:t>
      </w:r>
      <w:r>
        <w:rPr>
          <w:rFonts w:ascii="Times New Roman" w:cs="Times New Roman" w:eastAsia="Times New Roman" w:hAnsi="Times New Roman"/>
          <w:sz w:val="21"/>
          <w:szCs w:val="21"/>
          <w:color w:val="auto"/>
        </w:rPr>
        <w:t xml:space="preserve"> or in such other manner as may be permitted by law, shall be valid and sufficient service thereof. (Signature Page Follows)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9020"/>
          </w:cols>
          <w:pgMar w:left="1440" w:top="1361" w:right="1439" w:bottom="1440" w:gutter="0" w:footer="0" w:header="0"/>
        </w:sectPr>
      </w:pPr>
    </w:p>
    <w:bookmarkStart w:id="104" w:name="page105"/>
    <w:bookmarkEnd w:id="104"/>
    <w:p>
      <w:pPr>
        <w:ind w:firstLine="631"/>
        <w:spacing w:after="0" w:line="242" w:lineRule="auto"/>
        <w:rPr>
          <w:sz w:val="20"/>
          <w:szCs w:val="20"/>
          <w:color w:val="auto"/>
        </w:rPr>
      </w:pPr>
      <w:r>
        <w:rPr>
          <w:rFonts w:ascii="Times New Roman" w:cs="Times New Roman" w:eastAsia="Times New Roman" w:hAnsi="Times New Roman"/>
          <w:sz w:val="21"/>
          <w:szCs w:val="21"/>
          <w:color w:val="auto"/>
        </w:rPr>
        <w:t>IN WITNESS WHEREOF, the parties hereto have executed this Indemnification Agreement on and as of the day and year first above written.</w:t>
      </w:r>
    </w:p>
    <w:p>
      <w:pPr>
        <w:spacing w:after="0" w:line="14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b w:val="1"/>
          <w:bCs w:val="1"/>
          <w:color w:val="auto"/>
        </w:rPr>
        <w:t>COMPANY</w:t>
      </w:r>
    </w:p>
    <w:p>
      <w:pPr>
        <w:spacing w:after="0" w:line="20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b w:val="1"/>
          <w:bCs w:val="1"/>
          <w:color w:val="auto"/>
        </w:rPr>
        <w:t>KVH INDUSTRIES, INC.</w:t>
      </w:r>
    </w:p>
    <w:p>
      <w:pPr>
        <w:spacing w:after="0" w:line="200" w:lineRule="exact"/>
        <w:rPr>
          <w:sz w:val="20"/>
          <w:szCs w:val="20"/>
          <w:color w:val="auto"/>
        </w:rPr>
      </w:pPr>
    </w:p>
    <w:p>
      <w:pPr>
        <w:spacing w:after="0" w:line="23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2633345</wp:posOffset>
            </wp:positionH>
            <wp:positionV relativeFrom="paragraph">
              <wp:posOffset>-5715</wp:posOffset>
            </wp:positionV>
            <wp:extent cx="9347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0">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p>
      <w:pPr>
        <w:ind w:left="3800"/>
        <w:spacing w:after="0" w:line="209" w:lineRule="auto"/>
        <w:rPr>
          <w:sz w:val="20"/>
          <w:szCs w:val="20"/>
          <w:color w:val="auto"/>
        </w:rPr>
      </w:pPr>
      <w:r>
        <w:rPr>
          <w:rFonts w:ascii="Times New Roman" w:cs="Times New Roman" w:eastAsia="Times New Roman" w:hAnsi="Times New Roman"/>
          <w:sz w:val="21"/>
          <w:szCs w:val="21"/>
          <w:color w:val="auto"/>
        </w:rPr>
        <w:t>Name:</w:t>
      </w:r>
    </w:p>
    <w:p>
      <w:pPr>
        <w:ind w:left="3800"/>
        <w:spacing w:after="0"/>
        <w:rPr>
          <w:sz w:val="20"/>
          <w:szCs w:val="20"/>
          <w:color w:val="auto"/>
        </w:rPr>
      </w:pPr>
      <w:r>
        <w:rPr>
          <w:rFonts w:ascii="Times New Roman" w:cs="Times New Roman" w:eastAsia="Times New Roman" w:hAnsi="Times New Roman"/>
          <w:sz w:val="21"/>
          <w:szCs w:val="21"/>
          <w:color w:val="auto"/>
        </w:rPr>
        <w:t>Title:</w:t>
      </w:r>
    </w:p>
    <w:p>
      <w:pPr>
        <w:spacing w:after="0" w:line="17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b w:val="1"/>
          <w:bCs w:val="1"/>
          <w:color w:val="auto"/>
        </w:rPr>
        <w:t>INDEMNITEE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-143510</wp:posOffset>
            </wp:positionV>
            <wp:extent cx="9347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1">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p>
      <w:pPr>
        <w:spacing w:after="0" w:line="178"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Name:</w:t>
      </w:r>
    </w:p>
    <w:p>
      <w:pPr>
        <w:ind w:left="3800"/>
        <w:spacing w:after="0"/>
        <w:rPr>
          <w:sz w:val="20"/>
          <w:szCs w:val="20"/>
          <w:color w:val="auto"/>
        </w:rPr>
      </w:pPr>
      <w:r>
        <w:rPr>
          <w:rFonts w:ascii="Times New Roman" w:cs="Times New Roman" w:eastAsia="Times New Roman" w:hAnsi="Times New Roman"/>
          <w:sz w:val="21"/>
          <w:szCs w:val="21"/>
          <w:color w:val="auto"/>
        </w:rPr>
        <w:t>Address:</w:t>
      </w:r>
    </w:p>
    <w:p>
      <w:pPr>
        <w:spacing w:after="0" w:line="18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1"/>
          <w:szCs w:val="21"/>
          <w:i w:val="1"/>
          <w:iCs w:val="1"/>
          <w:color w:val="auto"/>
        </w:rPr>
        <w:t>[Signature Page to Indemnification Agreement]</w:t>
      </w:r>
    </w:p>
    <w:p>
      <w:pPr>
        <w:sectPr>
          <w:pgSz w:w="11900" w:h="16838" w:orient="portrait"/>
          <w:cols w:equalWidth="0" w:num="1">
            <w:col w:w="10920"/>
          </w:cols>
          <w:pgMar w:left="320" w:top="1361" w:right="65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List of Subsidiaries</w:t>
      </w:r>
    </w:p>
    <w:p>
      <w:pPr>
        <w:sectPr>
          <w:pgSz w:w="11900" w:h="16838" w:orient="portrait"/>
          <w:cols w:equalWidth="0" w:num="1">
            <w:col w:w="10540"/>
          </w:cols>
          <w:pgMar w:left="360" w:top="908" w:right="999" w:bottom="1440" w:gutter="0" w:footer="0" w:header="0"/>
        </w:sectPr>
      </w:pP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KVH Industries A/S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KVH Industries Pte. Ltd.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KVH Industries Brasil Comunicacao Por Satelite Ltda.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KVH Industries Norway AS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KVH Industries Japan Co. Ltd.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KVH Industries UK Ltd.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KVH Media Group Ltd.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KVH Media Group Communication Ltd.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KVH Media Group International Ltd.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KVH Media Group Ltd.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KVH Media Group India Private Ltd</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Denmark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Norway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Kingdom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Kingdom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Kingdom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Kingdom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Cyprus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ectPr>
          <w:pgSz w:w="11900" w:h="16838" w:orient="portrait"/>
          <w:cols w:equalWidth="0" w:num="2">
            <w:col w:w="6120" w:space="720"/>
            <w:col w:w="3700"/>
          </w:cols>
          <w:pgMar w:left="360" w:top="908" w:right="999" w:bottom="1440" w:gutter="0" w:footer="0" w:header="0"/>
          <w:type w:val="continuous"/>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34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We have issued our reports dated March 15, 2024, with respect to the consolidated financial statements and internal control over financial reporting included in the Annual Report of KVH Industries, Inc. on Form 10-K for the year ended December 31, 2023. We consent to the incorporation by reference of said reports in the Registration Statements of KVH Industries, Inc. on Forms S-8 (File Nos. 333-266878, 333-240354, 333-212959, 333-190541, 333-168406, 333-160230, 333-141404, 333-112341, 333-67556, and 333-08491).</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Hartford, Connecticut</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15, 2024</w:t>
      </w:r>
    </w:p>
    <w:p>
      <w:pPr>
        <w:sectPr>
          <w:pgSz w:w="11900" w:h="16838" w:orient="portrait"/>
          <w:cols w:equalWidth="0" w:num="1">
            <w:col w:w="11240"/>
          </w:cols>
          <w:pgMar w:left="320" w:top="1210"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Brent C. Bruun, certify that:</w:t>
      </w:r>
    </w:p>
    <w:p>
      <w:pPr>
        <w:spacing w:after="0" w:line="95" w:lineRule="exact"/>
        <w:rPr>
          <w:sz w:val="20"/>
          <w:szCs w:val="20"/>
          <w:color w:val="auto"/>
        </w:rPr>
      </w:pPr>
    </w:p>
    <w:p>
      <w:pPr>
        <w:ind w:left="180" w:hanging="175"/>
        <w:spacing w:after="0"/>
        <w:tabs>
          <w:tab w:leader="none" w:pos="1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KVH Industries, Inc.;</w:t>
      </w:r>
    </w:p>
    <w:p>
      <w:pPr>
        <w:spacing w:after="0" w:line="95" w:lineRule="exact"/>
        <w:rPr>
          <w:rFonts w:ascii="Times New Roman" w:cs="Times New Roman" w:eastAsia="Times New Roman" w:hAnsi="Times New Roman"/>
          <w:sz w:val="18"/>
          <w:szCs w:val="18"/>
          <w:color w:val="auto"/>
        </w:rPr>
      </w:pPr>
    </w:p>
    <w:p>
      <w:pPr>
        <w:ind w:firstLine="5"/>
        <w:spacing w:after="0" w:line="268" w:lineRule="auto"/>
        <w:tabs>
          <w:tab w:leader="none" w:pos="17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7" w:lineRule="exact"/>
        <w:rPr>
          <w:rFonts w:ascii="Times New Roman" w:cs="Times New Roman" w:eastAsia="Times New Roman" w:hAnsi="Times New Roman"/>
          <w:sz w:val="18"/>
          <w:szCs w:val="18"/>
          <w:color w:val="auto"/>
        </w:rPr>
      </w:pPr>
    </w:p>
    <w:p>
      <w:pPr>
        <w:ind w:firstLine="5"/>
        <w:spacing w:after="0" w:line="268" w:lineRule="auto"/>
        <w:tabs>
          <w:tab w:leader="none" w:pos="18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8"/>
          <w:szCs w:val="18"/>
          <w:color w:val="auto"/>
        </w:rPr>
      </w:pPr>
    </w:p>
    <w:p>
      <w:pPr>
        <w:jc w:val="both"/>
        <w:ind w:firstLine="5"/>
        <w:spacing w:after="0" w:line="256" w:lineRule="auto"/>
        <w:tabs>
          <w:tab w:leader="none" w:pos="17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rFonts w:ascii="Times New Roman" w:cs="Times New Roman" w:eastAsia="Times New Roman" w:hAnsi="Times New Roman"/>
          <w:sz w:val="18"/>
          <w:szCs w:val="18"/>
          <w:color w:val="auto"/>
        </w:rPr>
      </w:pPr>
    </w:p>
    <w:p>
      <w:pPr>
        <w:ind w:left="800" w:hanging="479"/>
        <w:spacing w:after="0" w:line="256" w:lineRule="auto"/>
        <w:tabs>
          <w:tab w:leader="none" w:pos="57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7" w:lineRule="exact"/>
        <w:rPr>
          <w:rFonts w:ascii="Times New Roman" w:cs="Times New Roman" w:eastAsia="Times New Roman" w:hAnsi="Times New Roman"/>
          <w:sz w:val="18"/>
          <w:szCs w:val="18"/>
          <w:color w:val="auto"/>
        </w:rPr>
      </w:pPr>
    </w:p>
    <w:p>
      <w:pPr>
        <w:ind w:left="800" w:hanging="479"/>
        <w:spacing w:after="0" w:line="256" w:lineRule="auto"/>
        <w:tabs>
          <w:tab w:leader="none" w:pos="577"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Times New Roman" w:cs="Times New Roman" w:eastAsia="Times New Roman" w:hAnsi="Times New Roman"/>
          <w:sz w:val="18"/>
          <w:szCs w:val="18"/>
          <w:color w:val="auto"/>
        </w:rPr>
      </w:pPr>
    </w:p>
    <w:p>
      <w:pPr>
        <w:ind w:left="800" w:hanging="479"/>
        <w:spacing w:after="0" w:line="268" w:lineRule="auto"/>
        <w:tabs>
          <w:tab w:leader="none" w:pos="569"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Times New Roman" w:cs="Times New Roman" w:eastAsia="Times New Roman" w:hAnsi="Times New Roman"/>
          <w:sz w:val="18"/>
          <w:szCs w:val="18"/>
          <w:color w:val="auto"/>
        </w:rPr>
      </w:pPr>
    </w:p>
    <w:p>
      <w:pPr>
        <w:ind w:left="800" w:hanging="479"/>
        <w:spacing w:after="0" w:line="256" w:lineRule="auto"/>
        <w:tabs>
          <w:tab w:leader="none" w:pos="589"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rFonts w:ascii="Times New Roman" w:cs="Times New Roman" w:eastAsia="Times New Roman" w:hAnsi="Times New Roman"/>
          <w:sz w:val="18"/>
          <w:szCs w:val="18"/>
          <w:color w:val="auto"/>
        </w:rPr>
      </w:pPr>
    </w:p>
    <w:p>
      <w:pPr>
        <w:ind w:firstLine="5"/>
        <w:spacing w:after="0" w:line="268" w:lineRule="auto"/>
        <w:tabs>
          <w:tab w:leader="none" w:pos="20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8"/>
          <w:szCs w:val="18"/>
          <w:color w:val="auto"/>
        </w:rPr>
      </w:pPr>
    </w:p>
    <w:p>
      <w:pPr>
        <w:ind w:left="800" w:hanging="479"/>
        <w:spacing w:after="0" w:line="268" w:lineRule="auto"/>
        <w:tabs>
          <w:tab w:leader="none" w:pos="56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Times New Roman" w:cs="Times New Roman" w:eastAsia="Times New Roman" w:hAnsi="Times New Roman"/>
          <w:sz w:val="18"/>
          <w:szCs w:val="18"/>
          <w:color w:val="auto"/>
        </w:rPr>
      </w:pPr>
    </w:p>
    <w:p>
      <w:pPr>
        <w:ind w:left="800" w:hanging="479"/>
        <w:spacing w:after="0" w:line="268" w:lineRule="auto"/>
        <w:tabs>
          <w:tab w:leader="none" w:pos="585"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15, 2024</w:t>
      </w:r>
    </w:p>
    <w:p>
      <w:pPr>
        <w:spacing w:after="0" w:line="13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/S/ BRENT C. BRUUN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2657475</wp:posOffset>
            </wp:positionH>
            <wp:positionV relativeFrom="paragraph">
              <wp:posOffset>13970</wp:posOffset>
            </wp:positionV>
            <wp:extent cx="33051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2">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10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Brent C. Bruun</w:t>
      </w:r>
    </w:p>
    <w:p>
      <w:pPr>
        <w:spacing w:after="0" w:line="20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ectPr>
          <w:pgSz w:w="11900" w:h="16838" w:orient="portrait"/>
          <w:cols w:equalWidth="0" w:num="1">
            <w:col w:w="11240"/>
          </w:cols>
          <w:pgMar w:left="320" w:top="868"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Roger A. Kuebel, certify that:</w:t>
      </w:r>
    </w:p>
    <w:p>
      <w:pPr>
        <w:spacing w:after="0" w:line="95" w:lineRule="exact"/>
        <w:rPr>
          <w:sz w:val="20"/>
          <w:szCs w:val="20"/>
          <w:color w:val="auto"/>
        </w:rPr>
      </w:pPr>
    </w:p>
    <w:p>
      <w:pPr>
        <w:ind w:left="180" w:hanging="175"/>
        <w:spacing w:after="0"/>
        <w:tabs>
          <w:tab w:leader="none" w:pos="1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KVH Industries, Inc.;</w:t>
      </w:r>
    </w:p>
    <w:p>
      <w:pPr>
        <w:spacing w:after="0" w:line="95" w:lineRule="exact"/>
        <w:rPr>
          <w:rFonts w:ascii="Times New Roman" w:cs="Times New Roman" w:eastAsia="Times New Roman" w:hAnsi="Times New Roman"/>
          <w:sz w:val="18"/>
          <w:szCs w:val="18"/>
          <w:color w:val="auto"/>
        </w:rPr>
      </w:pPr>
    </w:p>
    <w:p>
      <w:pPr>
        <w:ind w:firstLine="5"/>
        <w:spacing w:after="0" w:line="268" w:lineRule="auto"/>
        <w:tabs>
          <w:tab w:leader="none" w:pos="17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7" w:lineRule="exact"/>
        <w:rPr>
          <w:rFonts w:ascii="Times New Roman" w:cs="Times New Roman" w:eastAsia="Times New Roman" w:hAnsi="Times New Roman"/>
          <w:sz w:val="18"/>
          <w:szCs w:val="18"/>
          <w:color w:val="auto"/>
        </w:rPr>
      </w:pPr>
    </w:p>
    <w:p>
      <w:pPr>
        <w:ind w:firstLine="5"/>
        <w:spacing w:after="0" w:line="268" w:lineRule="auto"/>
        <w:tabs>
          <w:tab w:leader="none" w:pos="18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8"/>
          <w:szCs w:val="18"/>
          <w:color w:val="auto"/>
        </w:rPr>
      </w:pPr>
    </w:p>
    <w:p>
      <w:pPr>
        <w:jc w:val="both"/>
        <w:ind w:firstLine="5"/>
        <w:spacing w:after="0" w:line="256" w:lineRule="auto"/>
        <w:tabs>
          <w:tab w:leader="none" w:pos="17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rFonts w:ascii="Times New Roman" w:cs="Times New Roman" w:eastAsia="Times New Roman" w:hAnsi="Times New Roman"/>
          <w:sz w:val="18"/>
          <w:szCs w:val="18"/>
          <w:color w:val="auto"/>
        </w:rPr>
      </w:pPr>
    </w:p>
    <w:p>
      <w:pPr>
        <w:ind w:left="800" w:hanging="479"/>
        <w:spacing w:after="0" w:line="256" w:lineRule="auto"/>
        <w:tabs>
          <w:tab w:leader="none" w:pos="57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7" w:lineRule="exact"/>
        <w:rPr>
          <w:rFonts w:ascii="Times New Roman" w:cs="Times New Roman" w:eastAsia="Times New Roman" w:hAnsi="Times New Roman"/>
          <w:sz w:val="18"/>
          <w:szCs w:val="18"/>
          <w:color w:val="auto"/>
        </w:rPr>
      </w:pPr>
    </w:p>
    <w:p>
      <w:pPr>
        <w:ind w:left="800" w:hanging="479"/>
        <w:spacing w:after="0" w:line="256" w:lineRule="auto"/>
        <w:tabs>
          <w:tab w:leader="none" w:pos="577"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Times New Roman" w:cs="Times New Roman" w:eastAsia="Times New Roman" w:hAnsi="Times New Roman"/>
          <w:sz w:val="18"/>
          <w:szCs w:val="18"/>
          <w:color w:val="auto"/>
        </w:rPr>
      </w:pPr>
    </w:p>
    <w:p>
      <w:pPr>
        <w:ind w:left="800" w:hanging="479"/>
        <w:spacing w:after="0" w:line="268" w:lineRule="auto"/>
        <w:tabs>
          <w:tab w:leader="none" w:pos="569"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Times New Roman" w:cs="Times New Roman" w:eastAsia="Times New Roman" w:hAnsi="Times New Roman"/>
          <w:sz w:val="18"/>
          <w:szCs w:val="18"/>
          <w:color w:val="auto"/>
        </w:rPr>
      </w:pPr>
    </w:p>
    <w:p>
      <w:pPr>
        <w:ind w:left="800" w:hanging="479"/>
        <w:spacing w:after="0" w:line="256" w:lineRule="auto"/>
        <w:tabs>
          <w:tab w:leader="none" w:pos="589"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rFonts w:ascii="Times New Roman" w:cs="Times New Roman" w:eastAsia="Times New Roman" w:hAnsi="Times New Roman"/>
          <w:sz w:val="18"/>
          <w:szCs w:val="18"/>
          <w:color w:val="auto"/>
        </w:rPr>
      </w:pPr>
    </w:p>
    <w:p>
      <w:pPr>
        <w:ind w:firstLine="5"/>
        <w:spacing w:after="0" w:line="268" w:lineRule="auto"/>
        <w:tabs>
          <w:tab w:leader="none" w:pos="20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8"/>
          <w:szCs w:val="18"/>
          <w:color w:val="auto"/>
        </w:rPr>
      </w:pPr>
    </w:p>
    <w:p>
      <w:pPr>
        <w:ind w:left="800" w:hanging="479"/>
        <w:spacing w:after="0" w:line="268" w:lineRule="auto"/>
        <w:tabs>
          <w:tab w:leader="none" w:pos="56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Times New Roman" w:cs="Times New Roman" w:eastAsia="Times New Roman" w:hAnsi="Times New Roman"/>
          <w:sz w:val="18"/>
          <w:szCs w:val="18"/>
          <w:color w:val="auto"/>
        </w:rPr>
      </w:pPr>
    </w:p>
    <w:p>
      <w:pPr>
        <w:ind w:left="800" w:hanging="479"/>
        <w:spacing w:after="0" w:line="268" w:lineRule="auto"/>
        <w:tabs>
          <w:tab w:leader="none" w:pos="585"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15, 2024</w:t>
      </w:r>
    </w:p>
    <w:p>
      <w:pPr>
        <w:spacing w:after="0" w:line="22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 ROGER A. KUEBEL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3467100</wp:posOffset>
            </wp:positionH>
            <wp:positionV relativeFrom="paragraph">
              <wp:posOffset>72390</wp:posOffset>
            </wp:positionV>
            <wp:extent cx="24955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3">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11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Roger A. Kuebel</w:t>
      </w:r>
    </w:p>
    <w:p>
      <w:pPr>
        <w:spacing w:after="0" w:line="12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68"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Annual Report on Form 10-K of KVH Industries, Inc. (the “Company”) for the year ended December 31, 2023, as filed with the Securities and Exchange Commission on the date hereof (the “Report”), each of the undersigned President, Chief Executive Officer and Chairman of the Board, and Chief Financial Officer of the Company, certifies, to the best knowledge and belief of the signatory, pursuant to 18 U.S.C 1350, as adopted pursuant to Section 906 of the Sarbanes-Oxley Act of 2002, that</w:t>
      </w:r>
    </w:p>
    <w:p>
      <w:pPr>
        <w:spacing w:after="0" w:line="64" w:lineRule="exact"/>
        <w:rPr>
          <w:sz w:val="20"/>
          <w:szCs w:val="20"/>
          <w:color w:val="auto"/>
        </w:rPr>
      </w:pPr>
    </w:p>
    <w:p>
      <w:pPr>
        <w:ind w:left="640" w:hanging="319"/>
        <w:spacing w:after="0"/>
        <w:tabs>
          <w:tab w:leader="none" w:pos="6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Act of 1934; and</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by</w:t>
      </w:r>
    </w:p>
    <w:p>
      <w:pPr>
        <w:spacing w:after="0" w:line="200" w:lineRule="exact"/>
        <w:rPr>
          <w:sz w:val="20"/>
          <w:szCs w:val="20"/>
          <w:color w:val="auto"/>
        </w:rPr>
      </w:pPr>
    </w:p>
    <w:p>
      <w:pPr>
        <w:spacing w:after="0" w:line="342"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640" w:type="dxa"/>
            <w:vAlign w:val="bottom"/>
          </w:tcPr>
          <w:p>
            <w:pPr>
              <w:spacing w:after="0"/>
              <w:rPr>
                <w:sz w:val="19"/>
                <w:szCs w:val="19"/>
                <w:color w:val="auto"/>
              </w:rPr>
            </w:pPr>
          </w:p>
        </w:tc>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BRENT C. BRUUN</w:t>
            </w:r>
          </w:p>
        </w:tc>
        <w:tc>
          <w:tcPr>
            <w:tcW w:w="88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ROGER A. KUEBEL</w:t>
            </w:r>
          </w:p>
        </w:tc>
        <w:tc>
          <w:tcPr>
            <w:tcW w:w="0" w:type="dxa"/>
            <w:vAlign w:val="bottom"/>
          </w:tcPr>
          <w:p>
            <w:pPr>
              <w:spacing w:after="0"/>
              <w:rPr>
                <w:sz w:val="1"/>
                <w:szCs w:val="1"/>
                <w:color w:val="auto"/>
              </w:rPr>
            </w:pPr>
          </w:p>
        </w:tc>
      </w:tr>
      <w:tr>
        <w:trPr>
          <w:trHeight w:val="92"/>
        </w:trPr>
        <w:tc>
          <w:tcPr>
            <w:tcW w:w="640" w:type="dxa"/>
            <w:vAlign w:val="bottom"/>
          </w:tcPr>
          <w:p>
            <w:pPr>
              <w:spacing w:after="0"/>
              <w:rPr>
                <w:sz w:val="8"/>
                <w:szCs w:val="8"/>
                <w:color w:val="auto"/>
              </w:rPr>
            </w:pPr>
          </w:p>
        </w:tc>
        <w:tc>
          <w:tcPr>
            <w:tcW w:w="4840" w:type="dxa"/>
            <w:vAlign w:val="bottom"/>
            <w:tcBorders>
              <w:bottom w:val="single" w:sz="8" w:color="auto"/>
            </w:tcBorders>
            <w:vMerge w:val="continue"/>
          </w:tcPr>
          <w:p>
            <w:pPr>
              <w:spacing w:after="0"/>
              <w:rPr>
                <w:sz w:val="8"/>
                <w:szCs w:val="8"/>
                <w:color w:val="auto"/>
              </w:rPr>
            </w:pPr>
          </w:p>
        </w:tc>
        <w:tc>
          <w:tcPr>
            <w:tcW w:w="880" w:type="dxa"/>
            <w:vAlign w:val="bottom"/>
          </w:tcPr>
          <w:p>
            <w:pPr>
              <w:spacing w:after="0"/>
              <w:rPr>
                <w:sz w:val="8"/>
                <w:szCs w:val="8"/>
                <w:color w:val="auto"/>
              </w:rPr>
            </w:pPr>
          </w:p>
        </w:tc>
        <w:tc>
          <w:tcPr>
            <w:tcW w:w="4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Brent C. Bruun</w:t>
            </w:r>
          </w:p>
        </w:tc>
        <w:tc>
          <w:tcPr>
            <w:tcW w:w="88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Roger A. Kuebel</w:t>
            </w:r>
          </w:p>
        </w:tc>
        <w:tc>
          <w:tcPr>
            <w:tcW w:w="0" w:type="dxa"/>
            <w:vAlign w:val="bottom"/>
          </w:tcPr>
          <w:p>
            <w:pPr>
              <w:spacing w:after="0"/>
              <w:rPr>
                <w:sz w:val="1"/>
                <w:szCs w:val="1"/>
                <w:color w:val="auto"/>
              </w:rPr>
            </w:pPr>
          </w:p>
        </w:tc>
      </w:tr>
      <w:tr>
        <w:trPr>
          <w:trHeight w:val="310"/>
        </w:trPr>
        <w:tc>
          <w:tcPr>
            <w:tcW w:w="64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880" w:type="dxa"/>
            <w:vAlign w:val="bottom"/>
          </w:tcPr>
          <w:p>
            <w:pPr>
              <w:spacing w:after="0"/>
              <w:rPr>
                <w:sz w:val="24"/>
                <w:szCs w:val="24"/>
                <w:color w:val="auto"/>
              </w:rPr>
            </w:pPr>
          </w:p>
        </w:tc>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92"/>
        </w:trPr>
        <w:tc>
          <w:tcPr>
            <w:tcW w:w="640" w:type="dxa"/>
            <w:vAlign w:val="bottom"/>
          </w:tcPr>
          <w:p>
            <w:pPr>
              <w:spacing w:after="0"/>
              <w:rPr>
                <w:sz w:val="8"/>
                <w:szCs w:val="8"/>
                <w:color w:val="auto"/>
              </w:rPr>
            </w:pPr>
          </w:p>
        </w:tc>
        <w:tc>
          <w:tcPr>
            <w:tcW w:w="48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81"/>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March 15, 2024</w:t>
            </w:r>
          </w:p>
        </w:tc>
        <w:tc>
          <w:tcPr>
            <w:tcW w:w="5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Date:   March 15, 2024</w:t>
            </w:r>
          </w:p>
        </w:tc>
        <w:tc>
          <w:tcPr>
            <w:tcW w:w="0" w:type="dxa"/>
            <w:vAlign w:val="bottom"/>
          </w:tcPr>
          <w:p>
            <w:pPr>
              <w:spacing w:after="0"/>
              <w:rPr>
                <w:sz w:val="1"/>
                <w:szCs w:val="1"/>
                <w:color w:val="auto"/>
              </w:rPr>
            </w:pPr>
          </w:p>
        </w:tc>
      </w:tr>
    </w:tbl>
    <w:p>
      <w:pPr>
        <w:sectPr>
          <w:pgSz w:w="11900" w:h="16838" w:orient="portrait"/>
          <w:cols w:equalWidth="0" w:num="1">
            <w:col w:w="11240"/>
          </w:cols>
          <w:pgMar w:left="320" w:top="868"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21"/>
          <w:szCs w:val="21"/>
          <w:b w:val="1"/>
          <w:bCs w:val="1"/>
          <w:color w:val="auto"/>
        </w:rPr>
        <w:t>Exhibit 97.1</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KVH Industries, Inc.</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Compensation Recovery Policy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November 13, 2023</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60" w:firstLine="631"/>
        <w:spacing w:after="0" w:line="246" w:lineRule="auto"/>
        <w:rPr>
          <w:sz w:val="20"/>
          <w:szCs w:val="20"/>
          <w:color w:val="auto"/>
        </w:rPr>
      </w:pPr>
      <w:r>
        <w:rPr>
          <w:rFonts w:ascii="Times New Roman" w:cs="Times New Roman" w:eastAsia="Times New Roman" w:hAnsi="Times New Roman"/>
          <w:sz w:val="21"/>
          <w:szCs w:val="21"/>
          <w:color w:val="auto"/>
        </w:rPr>
        <w:t>This Compensation Recovery Policy (the “</w:t>
      </w:r>
      <w:r>
        <w:rPr>
          <w:rFonts w:ascii="Times New Roman" w:cs="Times New Roman" w:eastAsia="Times New Roman" w:hAnsi="Times New Roman"/>
          <w:sz w:val="21"/>
          <w:szCs w:val="21"/>
          <w:b w:val="1"/>
          <w:bCs w:val="1"/>
          <w:color w:val="auto"/>
        </w:rPr>
        <w:t>Policy</w:t>
      </w:r>
      <w:r>
        <w:rPr>
          <w:rFonts w:ascii="Times New Roman" w:cs="Times New Roman" w:eastAsia="Times New Roman" w:hAnsi="Times New Roman"/>
          <w:sz w:val="21"/>
          <w:szCs w:val="21"/>
          <w:color w:val="auto"/>
        </w:rPr>
        <w:t>”) has been adopted by the Board of Directors of KVH Industries,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Certain capitalized terms used in this Policy are defined at the end of this Policy.</w:t>
      </w:r>
    </w:p>
    <w:p>
      <w:pPr>
        <w:spacing w:after="0" w:line="136" w:lineRule="exact"/>
        <w:rPr>
          <w:sz w:val="20"/>
          <w:szCs w:val="20"/>
          <w:color w:val="auto"/>
        </w:rPr>
      </w:pPr>
    </w:p>
    <w:p>
      <w:pPr>
        <w:ind w:firstLine="636"/>
        <w:spacing w:after="0" w:line="222" w:lineRule="auto"/>
        <w:tabs>
          <w:tab w:leader="none" w:pos="1262"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Introduction</w:t>
      </w:r>
      <w:r>
        <w:rPr>
          <w:rFonts w:ascii="Times New Roman" w:cs="Times New Roman" w:eastAsia="Times New Roman" w:hAnsi="Times New Roman"/>
          <w:sz w:val="21"/>
          <w:szCs w:val="21"/>
          <w:color w:val="auto"/>
        </w:rPr>
        <w:t>. This Policy is intended to support the Company’s pay-for-performance practices by addressing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circumstances in which the Company may directly or indirectly pay compensation that was not earned. For example, the Company might pay unearned compensation by miscalculating the amount of compensation to be paid to an employee or by paying compensation for results achieved through misconduct. It is the policy of the Company to recover unearned compensation as set forth in this Policy. This Policy imposes legally binding obligations on each Executive Officer.</w:t>
      </w:r>
    </w:p>
    <w:p>
      <w:pPr>
        <w:spacing w:after="0" w:line="144" w:lineRule="exact"/>
        <w:rPr>
          <w:rFonts w:ascii="Times New Roman" w:cs="Times New Roman" w:eastAsia="Times New Roman" w:hAnsi="Times New Roman"/>
          <w:sz w:val="21"/>
          <w:szCs w:val="21"/>
          <w:color w:val="auto"/>
        </w:rPr>
      </w:pPr>
    </w:p>
    <w:p>
      <w:pPr>
        <w:ind w:right="100" w:firstLine="636"/>
        <w:spacing w:after="0" w:line="220" w:lineRule="auto"/>
        <w:tabs>
          <w:tab w:leader="none" w:pos="1262"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Intent</w:t>
      </w:r>
      <w:r>
        <w:rPr>
          <w:rFonts w:ascii="Times New Roman" w:cs="Times New Roman" w:eastAsia="Times New Roman" w:hAnsi="Times New Roman"/>
          <w:sz w:val="21"/>
          <w:szCs w:val="21"/>
          <w:color w:val="auto"/>
        </w:rPr>
        <w:t>. This Policy is intended to comply with Section 10D of the Securities Exchange Act of 1934, as amended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Exchange Act</w:t>
      </w:r>
      <w:r>
        <w:rPr>
          <w:rFonts w:ascii="Times New Roman" w:cs="Times New Roman" w:eastAsia="Times New Roman" w:hAnsi="Times New Roman"/>
          <w:sz w:val="21"/>
          <w:szCs w:val="21"/>
          <w:color w:val="auto"/>
        </w:rPr>
        <w:t>”), Rule 10D-1 under the Exchange Act and Rule 5608 of the Nasdaq Stock Market LLC (“</w:t>
      </w:r>
      <w:r>
        <w:rPr>
          <w:rFonts w:ascii="Times New Roman" w:cs="Times New Roman" w:eastAsia="Times New Roman" w:hAnsi="Times New Roman"/>
          <w:sz w:val="21"/>
          <w:szCs w:val="21"/>
          <w:b w:val="1"/>
          <w:bCs w:val="1"/>
          <w:color w:val="auto"/>
        </w:rPr>
        <w:t>Nasdaq</w:t>
      </w:r>
      <w:r>
        <w:rPr>
          <w:rFonts w:ascii="Times New Roman" w:cs="Times New Roman" w:eastAsia="Times New Roman" w:hAnsi="Times New Roman"/>
          <w:sz w:val="21"/>
          <w:szCs w:val="21"/>
          <w:color w:val="auto"/>
        </w:rPr>
        <w:t>”). This Policy is also intended to facilitate compliance with Section 304 of the Sarbanes-Oxley Act of 2002, as amended (15 U.S.C. § 7243). This Policy shall be interpreted and administered to facilitate compliance with applicable laws, rules and regulations, including interpretations thereof promulgated or issued by the Securities and Exchange Commission (the “</w:t>
      </w:r>
      <w:r>
        <w:rPr>
          <w:rFonts w:ascii="Times New Roman" w:cs="Times New Roman" w:eastAsia="Times New Roman" w:hAnsi="Times New Roman"/>
          <w:sz w:val="21"/>
          <w:szCs w:val="21"/>
          <w:b w:val="1"/>
          <w:bCs w:val="1"/>
          <w:color w:val="auto"/>
        </w:rPr>
        <w:t>Commission</w:t>
      </w:r>
      <w:r>
        <w:rPr>
          <w:rFonts w:ascii="Times New Roman" w:cs="Times New Roman" w:eastAsia="Times New Roman" w:hAnsi="Times New Roman"/>
          <w:sz w:val="21"/>
          <w:szCs w:val="21"/>
          <w:color w:val="auto"/>
        </w:rPr>
        <w:t>”) or Nasdaq, as applicable.</w:t>
      </w:r>
    </w:p>
    <w:p>
      <w:pPr>
        <w:spacing w:after="0" w:line="143" w:lineRule="exact"/>
        <w:rPr>
          <w:rFonts w:ascii="Times New Roman" w:cs="Times New Roman" w:eastAsia="Times New Roman" w:hAnsi="Times New Roman"/>
          <w:sz w:val="21"/>
          <w:szCs w:val="21"/>
          <w:color w:val="auto"/>
        </w:rPr>
      </w:pPr>
    </w:p>
    <w:p>
      <w:pPr>
        <w:ind w:right="20" w:firstLine="636"/>
        <w:spacing w:after="0" w:line="216" w:lineRule="auto"/>
        <w:tabs>
          <w:tab w:leader="none" w:pos="1262"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Administration</w:t>
      </w:r>
      <w:r>
        <w:rPr>
          <w:rFonts w:ascii="Times New Roman" w:cs="Times New Roman" w:eastAsia="Times New Roman" w:hAnsi="Times New Roman"/>
          <w:sz w:val="21"/>
          <w:szCs w:val="21"/>
          <w:color w:val="auto"/>
        </w:rPr>
        <w:t>. This Policy shall be administered by the Compensation Committee (the “</w:t>
      </w:r>
      <w:r>
        <w:rPr>
          <w:rFonts w:ascii="Times New Roman" w:cs="Times New Roman" w:eastAsia="Times New Roman" w:hAnsi="Times New Roman"/>
          <w:sz w:val="21"/>
          <w:szCs w:val="21"/>
          <w:b w:val="1"/>
          <w:bCs w:val="1"/>
          <w:color w:val="auto"/>
        </w:rPr>
        <w:t>Committee</w:t>
      </w:r>
      <w:r>
        <w:rPr>
          <w:rFonts w:ascii="Times New Roman" w:cs="Times New Roman" w:eastAsia="Times New Roman" w:hAnsi="Times New Roman"/>
          <w:sz w:val="21"/>
          <w:szCs w:val="21"/>
          <w:color w:val="auto"/>
        </w:rPr>
        <w:t>”) of the Board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Directors of the Company. By adopting this Policy, the Board of Directors of the Company hereby delegates authority to the Committee to (a) exercise all of the powers granted to it under the Policy, (b) construe, interpret, and implement this Policy in its sole discretion, and (c) make all determinations necessary or advisable in administering this Policy and for the Company’s compliance with applicable laws, rules and regulations with respect to this Policy, (d) engage counsel and other advisors at the expense of the Company to advise and assist the Committee in connection with the interpretation, implementation and enforcement of this policy, and (e) recommend amendments to this Policy. Any determinations made by the Committee under this Policy shall be final and binding on all persons, including the Company, its affiliates, its shareholders and employees, and need not be uniform with respect to every individual covered by the Policy.</w:t>
      </w:r>
    </w:p>
    <w:p>
      <w:pPr>
        <w:spacing w:after="0" w:line="146" w:lineRule="exact"/>
        <w:rPr>
          <w:rFonts w:ascii="Times New Roman" w:cs="Times New Roman" w:eastAsia="Times New Roman" w:hAnsi="Times New Roman"/>
          <w:sz w:val="21"/>
          <w:szCs w:val="21"/>
          <w:color w:val="auto"/>
        </w:rPr>
      </w:pPr>
    </w:p>
    <w:p>
      <w:pPr>
        <w:ind w:right="20" w:firstLine="636"/>
        <w:spacing w:after="0" w:line="218" w:lineRule="auto"/>
        <w:tabs>
          <w:tab w:leader="none" w:pos="1262"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Dissemination and Acknowledgement of this Policy</w:t>
      </w:r>
      <w:r>
        <w:rPr>
          <w:rFonts w:ascii="Times New Roman" w:cs="Times New Roman" w:eastAsia="Times New Roman" w:hAnsi="Times New Roman"/>
          <w:sz w:val="21"/>
          <w:szCs w:val="21"/>
          <w:color w:val="auto"/>
        </w:rPr>
        <w:t>. A copy of this Policy shall be provided to each Executive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Officer upon inception of the Policy, upon commencement of employment, upon any amendment of the Policy and otherwise at regular intervals. Continued employment for more than two (2) weeks after receipt of a copy of this Policy shall constitute an agreement to be bound by the terms of this Policy. It shall be a condition of employment or continued employment of each Executive Officer that he, she or they shall execute and deliver to the Company, upon request, a copy of the Acknowledgement and Agreement attached to this Policy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provided that failure to obtain such Acknowledgement and Agreement shall not affect the enforceability of this Policy.</w:t>
      </w:r>
    </w:p>
    <w:p>
      <w:pPr>
        <w:sectPr>
          <w:pgSz w:w="11900" w:h="16838" w:orient="portrait"/>
          <w:cols w:equalWidth="0" w:num="1">
            <w:col w:w="11240"/>
          </w:cols>
          <w:pgMar w:left="320" w:top="1357" w:right="339" w:bottom="1440" w:gutter="0" w:footer="0" w:header="0"/>
        </w:sectPr>
      </w:pPr>
    </w:p>
    <w:bookmarkStart w:id="111" w:name="page112"/>
    <w:bookmarkEnd w:id="111"/>
    <w:p>
      <w:pPr>
        <w:ind w:left="1220" w:hanging="624"/>
        <w:spacing w:after="0"/>
        <w:tabs>
          <w:tab w:leader="none" w:pos="122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Recovery of Erroneously Awarded Incentive-Based Compensation</w:t>
      </w:r>
      <w:r>
        <w:rPr>
          <w:rFonts w:ascii="Times New Roman" w:cs="Times New Roman" w:eastAsia="Times New Roman" w:hAnsi="Times New Roman"/>
          <w:sz w:val="21"/>
          <w:szCs w:val="21"/>
          <w:color w:val="auto"/>
        </w:rPr>
        <w:t>.</w:t>
      </w:r>
    </w:p>
    <w:p>
      <w:pPr>
        <w:spacing w:after="0" w:line="183" w:lineRule="exact"/>
        <w:rPr>
          <w:rFonts w:ascii="Times New Roman" w:cs="Times New Roman" w:eastAsia="Times New Roman" w:hAnsi="Times New Roman"/>
          <w:sz w:val="21"/>
          <w:szCs w:val="21"/>
          <w:color w:val="auto"/>
        </w:rPr>
      </w:pPr>
    </w:p>
    <w:p>
      <w:pPr>
        <w:ind w:left="-40" w:right="40" w:firstLine="1188"/>
        <w:spacing w:after="0" w:line="225" w:lineRule="auto"/>
        <w:tabs>
          <w:tab w:leader="none" w:pos="1849"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 Company is required to prepare an Accounting Restatement, the Company shall recover reasonably promptly from each Executive Officer the amount of Erroneously Awarded Incentive-Based Compensation, regardless of fault or responsibility and regardless of whether the Company actually files the required Accounting Restatement with the Commission.</w:t>
      </w:r>
    </w:p>
    <w:p>
      <w:pPr>
        <w:spacing w:after="0" w:line="145" w:lineRule="exact"/>
        <w:rPr>
          <w:rFonts w:ascii="Times New Roman" w:cs="Times New Roman" w:eastAsia="Times New Roman" w:hAnsi="Times New Roman"/>
          <w:sz w:val="21"/>
          <w:szCs w:val="21"/>
          <w:color w:val="auto"/>
        </w:rPr>
      </w:pPr>
    </w:p>
    <w:p>
      <w:pPr>
        <w:ind w:left="-40" w:right="20" w:firstLine="1188"/>
        <w:spacing w:after="0" w:line="242" w:lineRule="auto"/>
        <w:tabs>
          <w:tab w:leader="none" w:pos="1848"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Under this Policy, each Executive Officer is legally obligated, both during and after employment, to reimburse the Company reasonably promptly for any Erroneously Awarded Incentive-Based Compensation.</w:t>
      </w:r>
    </w:p>
    <w:p>
      <w:pPr>
        <w:spacing w:after="0" w:line="143" w:lineRule="exact"/>
        <w:rPr>
          <w:rFonts w:ascii="Times New Roman" w:cs="Times New Roman" w:eastAsia="Times New Roman" w:hAnsi="Times New Roman"/>
          <w:sz w:val="21"/>
          <w:szCs w:val="21"/>
          <w:color w:val="auto"/>
        </w:rPr>
      </w:pPr>
    </w:p>
    <w:p>
      <w:pPr>
        <w:ind w:left="-40" w:firstLine="1188"/>
        <w:spacing w:after="0" w:line="230" w:lineRule="auto"/>
        <w:tabs>
          <w:tab w:leader="none" w:pos="1849"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employment agreement, equity award agreement, compensation plan or other compensatory agreement or arrangement with any Executive Officer shall be deemed to include, as a condition to the receipt of any Incentive-Based Compensation from or on behalf of the Company, an agreement by the Executive Officer to be bound by this Policy.</w:t>
      </w:r>
    </w:p>
    <w:p>
      <w:pPr>
        <w:spacing w:after="0" w:line="142" w:lineRule="exact"/>
        <w:rPr>
          <w:rFonts w:ascii="Times New Roman" w:cs="Times New Roman" w:eastAsia="Times New Roman" w:hAnsi="Times New Roman"/>
          <w:sz w:val="21"/>
          <w:szCs w:val="21"/>
          <w:color w:val="auto"/>
        </w:rPr>
      </w:pPr>
    </w:p>
    <w:p>
      <w:pPr>
        <w:ind w:left="-40" w:right="40" w:firstLine="636"/>
        <w:spacing w:after="0" w:line="215" w:lineRule="auto"/>
        <w:tabs>
          <w:tab w:leader="none" w:pos="1222"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Recovery for Misconduct</w:t>
      </w:r>
      <w:r>
        <w:rPr>
          <w:rFonts w:ascii="Times New Roman" w:cs="Times New Roman" w:eastAsia="Times New Roman" w:hAnsi="Times New Roman"/>
          <w:sz w:val="21"/>
          <w:szCs w:val="21"/>
          <w:color w:val="auto"/>
        </w:rPr>
        <w:t>. In accordance with Section 304 of the Sarbanes-Oxley Act of 2002, as amended (15</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U.S.C. § 7243), in the absence of an exemption from the Commission, if the Company is required to prepare an accounting restatement (which may include an Accounting Restatement) due to the material noncompliance of the Company, as a result of misconduct, with any financial reporting requirement under applicable securities laws, the Chief Executive Officer and Chief Financial Officer of the Company shall reimburse the Company for (a) any bonus or other incentive-based or equity-based compensation received by that person from or on behalf of the Company during the 12-month period following the first public issuance or filing with the Commission (whichever first occurs) of the financial document embodying such financial reporting requirement, and (b) any profits realized from the sale of securities of the Company during that 12-month period (collectively, “</w:t>
      </w:r>
      <w:r>
        <w:rPr>
          <w:rFonts w:ascii="Times New Roman" w:cs="Times New Roman" w:eastAsia="Times New Roman" w:hAnsi="Times New Roman"/>
          <w:sz w:val="21"/>
          <w:szCs w:val="21"/>
          <w:b w:val="1"/>
          <w:bCs w:val="1"/>
          <w:color w:val="auto"/>
        </w:rPr>
        <w:t>Misconduct-related Compensation</w:t>
      </w:r>
      <w:r>
        <w:rPr>
          <w:rFonts w:ascii="Times New Roman" w:cs="Times New Roman" w:eastAsia="Times New Roman" w:hAnsi="Times New Roman"/>
          <w:sz w:val="21"/>
          <w:szCs w:val="21"/>
          <w:color w:val="auto"/>
        </w:rPr>
        <w:t>”). For purposes of administering this Policy, the Committee may treat any Misconduct-related Compensation as Erroneously Awarded Incentive-Based Compensation but may elect such other recovery procedures as it deems necessary or appropriate.</w:t>
      </w:r>
    </w:p>
    <w:p>
      <w:pPr>
        <w:spacing w:after="0" w:line="143" w:lineRule="exact"/>
        <w:rPr>
          <w:rFonts w:ascii="Times New Roman" w:cs="Times New Roman" w:eastAsia="Times New Roman" w:hAnsi="Times New Roman"/>
          <w:sz w:val="21"/>
          <w:szCs w:val="21"/>
          <w:color w:val="auto"/>
        </w:rPr>
      </w:pPr>
    </w:p>
    <w:p>
      <w:pPr>
        <w:ind w:left="1220" w:hanging="624"/>
        <w:spacing w:after="0"/>
        <w:tabs>
          <w:tab w:leader="none" w:pos="122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Recovery Procedure</w:t>
      </w:r>
      <w:r>
        <w:rPr>
          <w:rFonts w:ascii="Times New Roman" w:cs="Times New Roman" w:eastAsia="Times New Roman" w:hAnsi="Times New Roman"/>
          <w:sz w:val="21"/>
          <w:szCs w:val="21"/>
          <w:color w:val="auto"/>
        </w:rPr>
        <w:t>.</w:t>
      </w:r>
    </w:p>
    <w:p>
      <w:pPr>
        <w:spacing w:after="0" w:line="183" w:lineRule="exact"/>
        <w:rPr>
          <w:rFonts w:ascii="Times New Roman" w:cs="Times New Roman" w:eastAsia="Times New Roman" w:hAnsi="Times New Roman"/>
          <w:sz w:val="21"/>
          <w:szCs w:val="21"/>
          <w:color w:val="auto"/>
        </w:rPr>
      </w:pPr>
    </w:p>
    <w:p>
      <w:pPr>
        <w:ind w:left="-40" w:right="180" w:firstLine="1188"/>
        <w:spacing w:after="0" w:line="225" w:lineRule="auto"/>
        <w:tabs>
          <w:tab w:leader="none" w:pos="1849"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Company is required to prepare an Accounting Restatement, the Committee shall reasonably promptly determine the amount of any Erroneously Awarded Incentive-Based Compensation and shall deliver written notice of the determination to the relevant Executive Officer(s), together with a demand for repayment of such compensation in the manner determined by the Committee pursuant to </w:t>
      </w:r>
      <w:r>
        <w:rPr>
          <w:rFonts w:ascii="Times New Roman" w:cs="Times New Roman" w:eastAsia="Times New Roman" w:hAnsi="Times New Roman"/>
          <w:sz w:val="21"/>
          <w:szCs w:val="21"/>
          <w:u w:val="single" w:color="auto"/>
          <w:color w:val="auto"/>
        </w:rPr>
        <w:t>Section 7(d)</w:t>
      </w:r>
      <w:r>
        <w:rPr>
          <w:rFonts w:ascii="Times New Roman" w:cs="Times New Roman" w:eastAsia="Times New Roman" w:hAnsi="Times New Roman"/>
          <w:sz w:val="21"/>
          <w:szCs w:val="21"/>
          <w:color w:val="auto"/>
        </w:rPr>
        <w:t>.</w:t>
      </w:r>
    </w:p>
    <w:p>
      <w:pPr>
        <w:spacing w:after="0" w:line="145" w:lineRule="exact"/>
        <w:rPr>
          <w:rFonts w:ascii="Times New Roman" w:cs="Times New Roman" w:eastAsia="Times New Roman" w:hAnsi="Times New Roman"/>
          <w:sz w:val="21"/>
          <w:szCs w:val="21"/>
          <w:color w:val="auto"/>
        </w:rPr>
      </w:pPr>
    </w:p>
    <w:p>
      <w:pPr>
        <w:ind w:left="-40" w:firstLine="1188"/>
        <w:spacing w:after="0" w:line="230" w:lineRule="auto"/>
        <w:tabs>
          <w:tab w:leader="none" w:pos="1848"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Incentive-Based Compensation based on stock price or total shareholder return, where the amount of Erroneously Awarded Incentive-Based Compensation is not subject to mathematical recalculation directly from the information in an Accounting Restatement:</w:t>
      </w:r>
    </w:p>
    <w:p>
      <w:pPr>
        <w:spacing w:after="0" w:line="146" w:lineRule="exact"/>
        <w:rPr>
          <w:rFonts w:ascii="Times New Roman" w:cs="Times New Roman" w:eastAsia="Times New Roman" w:hAnsi="Times New Roman"/>
          <w:sz w:val="21"/>
          <w:szCs w:val="21"/>
          <w:color w:val="auto"/>
        </w:rPr>
      </w:pPr>
    </w:p>
    <w:p>
      <w:pPr>
        <w:ind w:left="600" w:right="340" w:firstLine="1258"/>
        <w:spacing w:after="0" w:line="242" w:lineRule="auto"/>
        <w:tabs>
          <w:tab w:leader="none" w:pos="2481" w:val="left"/>
        </w:tabs>
        <w:numPr>
          <w:ilvl w:val="2"/>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Committee shall make a reasonable estimate of the effect of the Accounting Restatement on the stock price or total shareholder return upon which the Incentive-Based Compensation was received; and</w:t>
      </w:r>
    </w:p>
    <w:p>
      <w:pPr>
        <w:spacing w:after="0" w:line="143" w:lineRule="exact"/>
        <w:rPr>
          <w:rFonts w:ascii="Times New Roman" w:cs="Times New Roman" w:eastAsia="Times New Roman" w:hAnsi="Times New Roman"/>
          <w:sz w:val="21"/>
          <w:szCs w:val="21"/>
          <w:color w:val="auto"/>
        </w:rPr>
      </w:pPr>
    </w:p>
    <w:p>
      <w:pPr>
        <w:ind w:left="600" w:right="580" w:firstLine="1258"/>
        <w:spacing w:after="0" w:line="242" w:lineRule="auto"/>
        <w:tabs>
          <w:tab w:leader="none" w:pos="2487" w:val="left"/>
        </w:tabs>
        <w:numPr>
          <w:ilvl w:val="2"/>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maintain documentation of the Committee’s determination of that reasonable estimate and provide such documentation to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160"/>
          </w:cols>
          <w:pgMar w:left="360" w:top="1357" w:right="379" w:bottom="1440" w:gutter="0" w:footer="0" w:header="0"/>
        </w:sectPr>
      </w:pPr>
    </w:p>
    <w:bookmarkStart w:id="112" w:name="page113"/>
    <w:bookmarkEnd w:id="112"/>
    <w:p>
      <w:pPr>
        <w:ind w:left="-40" w:right="140" w:firstLine="1188"/>
        <w:spacing w:after="0" w:line="225" w:lineRule="auto"/>
        <w:tabs>
          <w:tab w:leader="none" w:pos="1849"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long-term disability plans, life insurance plans, supplemental executive retirement plans or other plans or arrangements that take into account Incentive-Based Compensation, the Company shall recover the amount contributed to the notional account based on Erroneously Awarded Incentive-Based Compensation and any earnings accrued to date on that notional amount.</w:t>
      </w:r>
    </w:p>
    <w:p>
      <w:pPr>
        <w:spacing w:after="0" w:line="145" w:lineRule="exact"/>
        <w:rPr>
          <w:rFonts w:ascii="Times New Roman" w:cs="Times New Roman" w:eastAsia="Times New Roman" w:hAnsi="Times New Roman"/>
          <w:sz w:val="21"/>
          <w:szCs w:val="21"/>
          <w:color w:val="auto"/>
        </w:rPr>
      </w:pPr>
    </w:p>
    <w:p>
      <w:pPr>
        <w:ind w:left="-40" w:right="40" w:firstLine="1188"/>
        <w:spacing w:after="0" w:line="230" w:lineRule="auto"/>
        <w:tabs>
          <w:tab w:leader="none" w:pos="1848"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Committee shall have the discretion to determine the appropriate timing and means of recovery of Erroneously Awarded Incentive-Based Compensation based on the facts and circumstances of each recovery, which may include one or more of the following (in each case to the extent permitted by law):</w:t>
      </w:r>
    </w:p>
    <w:p>
      <w:pPr>
        <w:spacing w:after="0" w:line="146" w:lineRule="exact"/>
        <w:rPr>
          <w:rFonts w:ascii="Times New Roman" w:cs="Times New Roman" w:eastAsia="Times New Roman" w:hAnsi="Times New Roman"/>
          <w:sz w:val="21"/>
          <w:szCs w:val="21"/>
          <w:color w:val="auto"/>
        </w:rPr>
      </w:pPr>
    </w:p>
    <w:p>
      <w:pPr>
        <w:ind w:left="2480" w:hanging="622"/>
        <w:spacing w:after="0"/>
        <w:tabs>
          <w:tab w:leader="none" w:pos="2480"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repayment in cash of the amount of Erroneously Awarded Incentive-Based Compensation;</w:t>
      </w:r>
    </w:p>
    <w:p>
      <w:pPr>
        <w:spacing w:after="0" w:line="179" w:lineRule="exact"/>
        <w:rPr>
          <w:rFonts w:ascii="Times New Roman" w:cs="Times New Roman" w:eastAsia="Times New Roman" w:hAnsi="Times New Roman"/>
          <w:sz w:val="21"/>
          <w:szCs w:val="21"/>
          <w:color w:val="auto"/>
        </w:rPr>
      </w:pPr>
    </w:p>
    <w:p>
      <w:pPr>
        <w:ind w:left="600" w:right="1080" w:firstLine="1258"/>
        <w:spacing w:after="0" w:line="242" w:lineRule="auto"/>
        <w:tabs>
          <w:tab w:leader="none" w:pos="2487"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offsets against unpaid incentive compensation, nonqualified deferred compensation, future compensation or dividends on Company stock;</w:t>
      </w:r>
    </w:p>
    <w:p>
      <w:pPr>
        <w:spacing w:after="0" w:line="143" w:lineRule="exact"/>
        <w:rPr>
          <w:rFonts w:ascii="Times New Roman" w:cs="Times New Roman" w:eastAsia="Times New Roman" w:hAnsi="Times New Roman"/>
          <w:sz w:val="21"/>
          <w:szCs w:val="21"/>
          <w:color w:val="auto"/>
        </w:rPr>
      </w:pPr>
    </w:p>
    <w:p>
      <w:pPr>
        <w:ind w:left="2480" w:hanging="622"/>
        <w:spacing w:after="0"/>
        <w:tabs>
          <w:tab w:leader="none" w:pos="2480"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cancellation of outstanding equity awards, whether vested or unvested;</w:t>
      </w:r>
    </w:p>
    <w:p>
      <w:pPr>
        <w:spacing w:after="0" w:line="179" w:lineRule="exact"/>
        <w:rPr>
          <w:rFonts w:ascii="Times New Roman" w:cs="Times New Roman" w:eastAsia="Times New Roman" w:hAnsi="Times New Roman"/>
          <w:sz w:val="21"/>
          <w:szCs w:val="21"/>
          <w:color w:val="auto"/>
        </w:rPr>
      </w:pPr>
    </w:p>
    <w:p>
      <w:pPr>
        <w:ind w:left="2480" w:hanging="622"/>
        <w:spacing w:after="0"/>
        <w:tabs>
          <w:tab w:leader="none" w:pos="2480"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surrender of outstanding shares of Company stock;</w:t>
      </w:r>
    </w:p>
    <w:p>
      <w:pPr>
        <w:spacing w:after="0" w:line="179" w:lineRule="exact"/>
        <w:rPr>
          <w:rFonts w:ascii="Times New Roman" w:cs="Times New Roman" w:eastAsia="Times New Roman" w:hAnsi="Times New Roman"/>
          <w:sz w:val="21"/>
          <w:szCs w:val="21"/>
          <w:color w:val="auto"/>
        </w:rPr>
      </w:pPr>
    </w:p>
    <w:p>
      <w:pPr>
        <w:ind w:left="2480" w:hanging="622"/>
        <w:spacing w:after="0"/>
        <w:tabs>
          <w:tab w:leader="none" w:pos="2480"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non-cancellable promissory notes bearing a commercially reasonable rate of interest;</w:t>
      </w:r>
    </w:p>
    <w:p>
      <w:pPr>
        <w:spacing w:after="0" w:line="179" w:lineRule="exact"/>
        <w:rPr>
          <w:rFonts w:ascii="Times New Roman" w:cs="Times New Roman" w:eastAsia="Times New Roman" w:hAnsi="Times New Roman"/>
          <w:sz w:val="21"/>
          <w:szCs w:val="21"/>
          <w:color w:val="auto"/>
        </w:rPr>
      </w:pPr>
    </w:p>
    <w:p>
      <w:pPr>
        <w:ind w:left="600" w:right="320" w:firstLine="1258"/>
        <w:spacing w:after="0" w:line="242" w:lineRule="auto"/>
        <w:tabs>
          <w:tab w:leader="none" w:pos="2481"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deferred payment plan that allows the Executive Officer to repay Erroneously Awarded Incentive-Based Compensation as soon as possible without unreasonable economic hardship to the Executive Officer; or</w:t>
      </w:r>
    </w:p>
    <w:p>
      <w:pPr>
        <w:spacing w:after="0" w:line="143" w:lineRule="exact"/>
        <w:rPr>
          <w:rFonts w:ascii="Times New Roman" w:cs="Times New Roman" w:eastAsia="Times New Roman" w:hAnsi="Times New Roman"/>
          <w:sz w:val="21"/>
          <w:szCs w:val="21"/>
          <w:color w:val="auto"/>
        </w:rPr>
      </w:pPr>
    </w:p>
    <w:p>
      <w:pPr>
        <w:ind w:left="2480" w:hanging="622"/>
        <w:spacing w:after="0"/>
        <w:tabs>
          <w:tab w:leader="none" w:pos="2480"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remedial action permitted by law, as determined by the Committee in its sole discretion.</w:t>
      </w:r>
    </w:p>
    <w:p>
      <w:pPr>
        <w:spacing w:after="0" w:line="179" w:lineRule="exact"/>
        <w:rPr>
          <w:sz w:val="20"/>
          <w:szCs w:val="20"/>
          <w:color w:val="auto"/>
        </w:rPr>
      </w:pPr>
    </w:p>
    <w:p>
      <w:pPr>
        <w:ind w:left="600" w:right="460"/>
        <w:spacing w:after="0" w:line="230" w:lineRule="auto"/>
        <w:rPr>
          <w:sz w:val="20"/>
          <w:szCs w:val="20"/>
          <w:color w:val="auto"/>
        </w:rPr>
      </w:pPr>
      <w:r>
        <w:rPr>
          <w:rFonts w:ascii="Times New Roman" w:cs="Times New Roman" w:eastAsia="Times New Roman" w:hAnsi="Times New Roman"/>
          <w:sz w:val="21"/>
          <w:szCs w:val="21"/>
          <w:color w:val="auto"/>
        </w:rPr>
        <w:t xml:space="preserve">Notwithstanding the foregoing, except as provided in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the Company shall not accept an amount less than the amount of the Erroneously Awarded Incentive-Based Compensation in satisfaction of an Executive Officer’s obligations under this Policy.</w:t>
      </w:r>
    </w:p>
    <w:p>
      <w:pPr>
        <w:spacing w:after="0" w:line="147" w:lineRule="exact"/>
        <w:rPr>
          <w:sz w:val="20"/>
          <w:szCs w:val="20"/>
          <w:color w:val="auto"/>
        </w:rPr>
      </w:pPr>
    </w:p>
    <w:p>
      <w:pPr>
        <w:ind w:left="-40" w:firstLine="1188"/>
        <w:spacing w:after="0" w:line="221" w:lineRule="auto"/>
        <w:tabs>
          <w:tab w:leader="none" w:pos="1849"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 Executive Officer fails to repay all Erroneously Awarded Incentive-Based Compensation to the Company when due, (i) the Company shall seek, subject only to the exceptions provided in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to recover such Erroneously Awarded Incentive-Based Compensation from the Executive Officer and (ii) the Executive Officer shall reimburse the Company for any and all expenses reasonably incurred (including legal fees) by the Company or any of its subsidiaries in recovering such Erroneously Awarded Incentive-Based Compensation.</w:t>
      </w:r>
    </w:p>
    <w:p>
      <w:pPr>
        <w:spacing w:after="0" w:line="145" w:lineRule="exact"/>
        <w:rPr>
          <w:rFonts w:ascii="Times New Roman" w:cs="Times New Roman" w:eastAsia="Times New Roman" w:hAnsi="Times New Roman"/>
          <w:sz w:val="21"/>
          <w:szCs w:val="21"/>
          <w:color w:val="auto"/>
        </w:rPr>
      </w:pPr>
    </w:p>
    <w:p>
      <w:pPr>
        <w:ind w:left="-40" w:right="80" w:firstLine="636"/>
        <w:spacing w:after="0" w:line="231" w:lineRule="auto"/>
        <w:tabs>
          <w:tab w:leader="none" w:pos="1222"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Exceptions</w:t>
      </w:r>
      <w:r>
        <w:rPr>
          <w:rFonts w:ascii="Times New Roman" w:cs="Times New Roman" w:eastAsia="Times New Roman" w:hAnsi="Times New Roman"/>
          <w:sz w:val="21"/>
          <w:szCs w:val="21"/>
          <w:color w:val="auto"/>
        </w:rPr>
        <w:t>. The Company need not recover Erroneously Awarded Incentive-Based Compensation in the following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circumstances if the Committee (or in the absence of such a committee, a majority of the independent directors serving on the Board of Directors), has made a determination that recovery would be impracticable:</w:t>
      </w:r>
    </w:p>
    <w:p>
      <w:pPr>
        <w:spacing w:after="0" w:line="147" w:lineRule="exact"/>
        <w:rPr>
          <w:rFonts w:ascii="Times New Roman" w:cs="Times New Roman" w:eastAsia="Times New Roman" w:hAnsi="Times New Roman"/>
          <w:sz w:val="21"/>
          <w:szCs w:val="21"/>
          <w:color w:val="auto"/>
        </w:rPr>
      </w:pPr>
    </w:p>
    <w:p>
      <w:pPr>
        <w:ind w:left="-40" w:right="60" w:firstLine="1188"/>
        <w:spacing w:after="0" w:line="230" w:lineRule="auto"/>
        <w:tabs>
          <w:tab w:leader="none" w:pos="1849"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direct expense paid to a third party to assist in enforcing the Policy would exceed the amount to be recovered;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before concluding that it would be impracticable to recover any amount of Erroneously Awarded Incentive-Based Compensation based on expense of enforcement, the Company must make a reasonable attempt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180"/>
          </w:cols>
          <w:pgMar w:left="360" w:top="1361" w:right="359" w:bottom="1440" w:gutter="0" w:footer="0" w:header="0"/>
        </w:sectPr>
      </w:pPr>
    </w:p>
    <w:bookmarkStart w:id="113" w:name="page114"/>
    <w:bookmarkEnd w:id="113"/>
    <w:p>
      <w:pPr>
        <w:ind w:right="140"/>
        <w:spacing w:after="0" w:line="242" w:lineRule="auto"/>
        <w:rPr>
          <w:sz w:val="20"/>
          <w:szCs w:val="20"/>
          <w:color w:val="auto"/>
        </w:rPr>
      </w:pPr>
      <w:r>
        <w:rPr>
          <w:rFonts w:ascii="Times New Roman" w:cs="Times New Roman" w:eastAsia="Times New Roman" w:hAnsi="Times New Roman"/>
          <w:sz w:val="21"/>
          <w:szCs w:val="21"/>
          <w:color w:val="auto"/>
        </w:rPr>
        <w:t>to recover such Erroneously Awarded Incentive-Based Compensation, document such reasonable attempt(s) to recover, and provide that documentation to Nasdaq; or</w:t>
      </w:r>
    </w:p>
    <w:p>
      <w:pPr>
        <w:spacing w:after="0" w:line="144" w:lineRule="exact"/>
        <w:rPr>
          <w:sz w:val="20"/>
          <w:szCs w:val="20"/>
          <w:color w:val="auto"/>
        </w:rPr>
      </w:pPr>
    </w:p>
    <w:p>
      <w:pPr>
        <w:ind w:right="500" w:firstLine="1188"/>
        <w:spacing w:after="0" w:line="230" w:lineRule="auto"/>
        <w:tabs>
          <w:tab w:leader="none" w:pos="1888"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recovery would likely cause an otherwise tax-qualified retirement plan, under which benefits are broadly available to employees of the Company, to fail to meet the requirements of 26 U.S.C. § 401(a)(13) or 26 U.S.C. § 411(a) and regulations thereunder.</w:t>
      </w:r>
    </w:p>
    <w:p>
      <w:pPr>
        <w:spacing w:after="0" w:line="142" w:lineRule="exact"/>
        <w:rPr>
          <w:rFonts w:ascii="Times New Roman" w:cs="Times New Roman" w:eastAsia="Times New Roman" w:hAnsi="Times New Roman"/>
          <w:sz w:val="21"/>
          <w:szCs w:val="21"/>
          <w:color w:val="auto"/>
        </w:rPr>
      </w:pPr>
    </w:p>
    <w:p>
      <w:pPr>
        <w:ind w:right="120" w:firstLine="636"/>
        <w:spacing w:after="0" w:line="246" w:lineRule="auto"/>
        <w:tabs>
          <w:tab w:leader="none" w:pos="1262"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Disclosure</w:t>
      </w:r>
      <w:r>
        <w:rPr>
          <w:rFonts w:ascii="Times New Roman" w:cs="Times New Roman" w:eastAsia="Times New Roman" w:hAnsi="Times New Roman"/>
          <w:sz w:val="21"/>
          <w:szCs w:val="21"/>
          <w:color w:val="auto"/>
        </w:rPr>
        <w:t>. The Company shall file all disclosures with respect to this Policy in accordance with the requirements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federal securities laws, including the disclosure required by applicable Commission filings.</w:t>
      </w:r>
    </w:p>
    <w:p>
      <w:pPr>
        <w:spacing w:after="0" w:line="135" w:lineRule="exact"/>
        <w:rPr>
          <w:rFonts w:ascii="Times New Roman" w:cs="Times New Roman" w:eastAsia="Times New Roman" w:hAnsi="Times New Roman"/>
          <w:sz w:val="21"/>
          <w:szCs w:val="21"/>
          <w:color w:val="auto"/>
        </w:rPr>
      </w:pPr>
    </w:p>
    <w:p>
      <w:pPr>
        <w:ind w:firstLine="636"/>
        <w:spacing w:after="0" w:line="216" w:lineRule="auto"/>
        <w:tabs>
          <w:tab w:leader="none" w:pos="1262"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Prohibition of Indemnification</w:t>
      </w:r>
      <w:r>
        <w:rPr>
          <w:rFonts w:ascii="Times New Roman" w:cs="Times New Roman" w:eastAsia="Times New Roman" w:hAnsi="Times New Roman"/>
          <w:sz w:val="21"/>
          <w:szCs w:val="21"/>
          <w:color w:val="auto"/>
        </w:rPr>
        <w:t>. Notwithstanding the terms of any insurance policy or any indemnification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or other contractual arrangement with any Executive Officer to the contrary, the Company shall not insure or indemnify any Executive Officer against (a) the loss of any Erroneously Awarded Incentive-Based Compensation that is required to be repaid, returned or recovered pursuant to this Policy, or (b) any claims relating to the Company’s enforcement of its rights under this Policy. Although Executive Officers may purchase insurance to cover their potential recovery obligations, the Company shall not pay or reimburse the Executive Officer for premiums or deductibles for any such policy. Further, the Company shall not agree to exempt any Incentive-Based Compensation from the application of this Policy or to waive the Company’s right to recover any Erroneously Awarded Incentive-Based Compensation. This Policy shall supersede any such agreement or waiver (whether entered into before, on, or after the Effective Date), including any indemnification agreement.</w:t>
      </w:r>
    </w:p>
    <w:p>
      <w:pPr>
        <w:spacing w:after="0" w:line="146" w:lineRule="exact"/>
        <w:rPr>
          <w:rFonts w:ascii="Times New Roman" w:cs="Times New Roman" w:eastAsia="Times New Roman" w:hAnsi="Times New Roman"/>
          <w:sz w:val="21"/>
          <w:szCs w:val="21"/>
          <w:color w:val="auto"/>
        </w:rPr>
      </w:pPr>
    </w:p>
    <w:p>
      <w:pPr>
        <w:ind w:right="60" w:firstLine="636"/>
        <w:spacing w:after="0" w:line="220" w:lineRule="auto"/>
        <w:tabs>
          <w:tab w:leader="none" w:pos="1254"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Other Recovery Rights; Credit for Recovery</w:t>
      </w:r>
      <w:r>
        <w:rPr>
          <w:rFonts w:ascii="Times New Roman" w:cs="Times New Roman" w:eastAsia="Times New Roman" w:hAnsi="Times New Roman"/>
          <w:sz w:val="21"/>
          <w:szCs w:val="21"/>
          <w:color w:val="auto"/>
        </w:rPr>
        <w:t>. This Policy shall not be construed to limit in any way the Company’s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right to recover any Erroneously Awarded Incentive-Based Compensation or other Incentive-Based Compensation from any Executive Officer, or any other rights or remedies that the Company may have, under any other policy, plan or agreement or any applicable law, rule or regulation. If the Company shall recover from any Executive Officer any Erroneously Awarded Incentive-Based Compensation through any means outside this Policy, the amount recovered shall be credited against the amount owed by the Executive Officer under this Policy with respect to such Erroneously Awarded Incentive-Based Compensation.</w:t>
      </w:r>
    </w:p>
    <w:p>
      <w:pPr>
        <w:spacing w:after="0" w:line="143" w:lineRule="exact"/>
        <w:rPr>
          <w:rFonts w:ascii="Times New Roman" w:cs="Times New Roman" w:eastAsia="Times New Roman" w:hAnsi="Times New Roman"/>
          <w:sz w:val="21"/>
          <w:szCs w:val="21"/>
          <w:color w:val="auto"/>
        </w:rPr>
      </w:pPr>
    </w:p>
    <w:p>
      <w:pPr>
        <w:ind w:right="20" w:firstLine="636"/>
        <w:spacing w:after="0" w:line="246" w:lineRule="auto"/>
        <w:tabs>
          <w:tab w:leader="none" w:pos="1262"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Binding Effect</w:t>
      </w:r>
      <w:r>
        <w:rPr>
          <w:rFonts w:ascii="Times New Roman" w:cs="Times New Roman" w:eastAsia="Times New Roman" w:hAnsi="Times New Roman"/>
          <w:sz w:val="21"/>
          <w:szCs w:val="21"/>
          <w:color w:val="auto"/>
        </w:rPr>
        <w:t>. This Policy shall be binding on and enforceable against all Executive Officers and their beneficiaries,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heirs, executors, administrators and other legal representatives.</w:t>
      </w:r>
    </w:p>
    <w:p>
      <w:pPr>
        <w:spacing w:after="0" w:line="135" w:lineRule="exact"/>
        <w:rPr>
          <w:rFonts w:ascii="Times New Roman" w:cs="Times New Roman" w:eastAsia="Times New Roman" w:hAnsi="Times New Roman"/>
          <w:sz w:val="21"/>
          <w:szCs w:val="21"/>
          <w:color w:val="auto"/>
        </w:rPr>
      </w:pPr>
    </w:p>
    <w:p>
      <w:pPr>
        <w:ind w:right="140" w:firstLine="636"/>
        <w:spacing w:after="0" w:line="220" w:lineRule="auto"/>
        <w:tabs>
          <w:tab w:leader="none" w:pos="1262"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Survival; No Release or Waiver of Claims</w:t>
      </w:r>
      <w:r>
        <w:rPr>
          <w:rFonts w:ascii="Times New Roman" w:cs="Times New Roman" w:eastAsia="Times New Roman" w:hAnsi="Times New Roman"/>
          <w:sz w:val="21"/>
          <w:szCs w:val="21"/>
          <w:color w:val="auto"/>
        </w:rPr>
        <w:t>. Neither the termination of employment of an Executive Officer nor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ceasing to serve as an Executive Officer shall affect the Executive Officer’s obligations under this Policy, which shall survive such termination or change in service. Each Executive Officer agrees that no general or limited release or waiver by the Company of any claims or rights shall release or waive, or be deemed to release or waive, any of the Company’s rights under this Policy (or any obligations of the Executive Officer under this Policy) unless, and only to the extent that, and subject to </w:t>
      </w: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 such release or waiver expressly refers to this Policy by name and expressly states that the Company intends to release its rights under this Policy.</w:t>
      </w:r>
    </w:p>
    <w:p>
      <w:pPr>
        <w:spacing w:after="0" w:line="143" w:lineRule="exact"/>
        <w:rPr>
          <w:rFonts w:ascii="Times New Roman" w:cs="Times New Roman" w:eastAsia="Times New Roman" w:hAnsi="Times New Roman"/>
          <w:sz w:val="21"/>
          <w:szCs w:val="21"/>
          <w:color w:val="auto"/>
        </w:rPr>
      </w:pPr>
    </w:p>
    <w:p>
      <w:pPr>
        <w:ind w:right="40" w:firstLine="636"/>
        <w:spacing w:after="0" w:line="226" w:lineRule="auto"/>
        <w:tabs>
          <w:tab w:leader="none" w:pos="1262"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Severability</w:t>
      </w:r>
      <w:r>
        <w:rPr>
          <w:rFonts w:ascii="Times New Roman" w:cs="Times New Roman" w:eastAsia="Times New Roman" w:hAnsi="Times New Roman"/>
          <w:sz w:val="21"/>
          <w:szCs w:val="21"/>
          <w:color w:val="auto"/>
        </w:rPr>
        <w:t>. If any provision of this Policy or the application of such provision is adjudicated to be invalid, illegal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unenforceable in any respect, that invalidity, illegality or unenforceability shall not affect any other provision of this Policy, and the invalid, illegal or unenforceable provision shall be deemed to be amended to the minimum extent necessary to render that provision or the application thereof 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20"/>
          </w:cols>
          <w:pgMar w:left="320" w:top="1361" w:right="359" w:bottom="1440" w:gutter="0" w:footer="0" w:header="0"/>
        </w:sectPr>
      </w:pPr>
    </w:p>
    <w:bookmarkStart w:id="114" w:name="page115"/>
    <w:bookmarkEnd w:id="114"/>
    <w:p>
      <w:pPr>
        <w:ind w:right="840" w:firstLine="636"/>
        <w:spacing w:after="0" w:line="246" w:lineRule="auto"/>
        <w:tabs>
          <w:tab w:leader="none" w:pos="1262"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Governing Law</w:t>
      </w:r>
      <w:r>
        <w:rPr>
          <w:rFonts w:ascii="Times New Roman" w:cs="Times New Roman" w:eastAsia="Times New Roman" w:hAnsi="Times New Roman"/>
          <w:sz w:val="21"/>
          <w:szCs w:val="21"/>
          <w:color w:val="auto"/>
        </w:rPr>
        <w:t>. This Policy shall be governed by and construed in accordance with the laws of the State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[Delaware], without regard to its conflicts of laws.</w:t>
      </w:r>
    </w:p>
    <w:p>
      <w:pPr>
        <w:spacing w:after="0" w:line="135" w:lineRule="exact"/>
        <w:rPr>
          <w:rFonts w:ascii="Times New Roman" w:cs="Times New Roman" w:eastAsia="Times New Roman" w:hAnsi="Times New Roman"/>
          <w:sz w:val="21"/>
          <w:szCs w:val="21"/>
          <w:color w:val="auto"/>
        </w:rPr>
      </w:pPr>
    </w:p>
    <w:p>
      <w:pPr>
        <w:ind w:right="140" w:firstLine="636"/>
        <w:spacing w:after="0" w:line="226" w:lineRule="auto"/>
        <w:tabs>
          <w:tab w:leader="none" w:pos="1262"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Amendment; Termination; Waiver</w:t>
      </w:r>
      <w:r>
        <w:rPr>
          <w:rFonts w:ascii="Times New Roman" w:cs="Times New Roman" w:eastAsia="Times New Roman" w:hAnsi="Times New Roman"/>
          <w:sz w:val="21"/>
          <w:szCs w:val="21"/>
          <w:color w:val="auto"/>
        </w:rPr>
        <w:t>. This Policy may be amended, modified or terminated at any time by the Board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Directors of the Company. The Committee shall have the discretion to waive any provision of this Policy, but only to the extent that such waiver would not result in a violation by the Company of any applicable law, rule or regulation, including Rule 10D-1 under the Exchange Act and Nasdaq Rule 5608.</w:t>
      </w:r>
    </w:p>
    <w:p>
      <w:pPr>
        <w:spacing w:after="0" w:line="141" w:lineRule="exact"/>
        <w:rPr>
          <w:rFonts w:ascii="Times New Roman" w:cs="Times New Roman" w:eastAsia="Times New Roman" w:hAnsi="Times New Roman"/>
          <w:sz w:val="21"/>
          <w:szCs w:val="21"/>
          <w:color w:val="auto"/>
        </w:rPr>
      </w:pPr>
    </w:p>
    <w:p>
      <w:pPr>
        <w:ind w:left="1260" w:hanging="624"/>
        <w:spacing w:after="0"/>
        <w:tabs>
          <w:tab w:leader="none" w:pos="126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Definitions</w:t>
      </w:r>
      <w:r>
        <w:rPr>
          <w:rFonts w:ascii="Times New Roman" w:cs="Times New Roman" w:eastAsia="Times New Roman" w:hAnsi="Times New Roman"/>
          <w:sz w:val="21"/>
          <w:szCs w:val="21"/>
          <w:color w:val="auto"/>
        </w:rPr>
        <w:t>. For purposes of this Policy, the following terms shall have the respective meanings set forth below:</w:t>
      </w:r>
    </w:p>
    <w:p>
      <w:pPr>
        <w:spacing w:after="0" w:line="179" w:lineRule="exact"/>
        <w:rPr>
          <w:sz w:val="20"/>
          <w:szCs w:val="20"/>
          <w:color w:val="auto"/>
        </w:rPr>
      </w:pPr>
    </w:p>
    <w:p>
      <w:pPr>
        <w:jc w:val="both"/>
        <w:ind w:right="80" w:firstLine="631"/>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Accounting Restatement</w:t>
      </w:r>
      <w:r>
        <w:rPr>
          <w:rFonts w:ascii="Times New Roman" w:cs="Times New Roman" w:eastAsia="Times New Roman" w:hAnsi="Times New Roman"/>
          <w:sz w:val="21"/>
          <w:szCs w:val="21"/>
          <w:color w:val="auto"/>
        </w:rPr>
        <w:t>” means any accounting restatement due to the material noncompliance of the Company with any financial reporting requirement under applicable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means October 2, 2023.</w:t>
      </w:r>
    </w:p>
    <w:p>
      <w:pPr>
        <w:spacing w:after="0" w:line="179" w:lineRule="exact"/>
        <w:rPr>
          <w:sz w:val="20"/>
          <w:szCs w:val="20"/>
          <w:color w:val="auto"/>
        </w:rPr>
      </w:pPr>
    </w:p>
    <w:p>
      <w:pPr>
        <w:ind w:firstLine="631"/>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Erroneously Awarded Incentive-Based Compensation</w:t>
      </w:r>
      <w:r>
        <w:rPr>
          <w:rFonts w:ascii="Times New Roman" w:cs="Times New Roman" w:eastAsia="Times New Roman" w:hAnsi="Times New Roman"/>
          <w:sz w:val="21"/>
          <w:szCs w:val="21"/>
          <w:color w:val="auto"/>
        </w:rPr>
        <w:t>” means the amount of Recoverable Incentive-Based Compensation Received that exceeds the amount of Recoverable Incentive-Based Compensation that otherwise would have been Received had it been determined based on the restated amounts. The amount of Erroneously Awarded Incentive-Based Compensation must be computed without regard to any taxes paid.</w:t>
      </w:r>
    </w:p>
    <w:p>
      <w:pPr>
        <w:spacing w:after="0" w:line="142" w:lineRule="exact"/>
        <w:rPr>
          <w:sz w:val="20"/>
          <w:szCs w:val="20"/>
          <w:color w:val="auto"/>
        </w:rPr>
      </w:pPr>
    </w:p>
    <w:p>
      <w:pPr>
        <w:ind w:right="80" w:firstLine="631"/>
        <w:spacing w:after="0" w:line="21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Executive Officer</w:t>
      </w:r>
      <w:r>
        <w:rPr>
          <w:rFonts w:ascii="Times New Roman" w:cs="Times New Roman" w:eastAsia="Times New Roman" w:hAnsi="Times New Roman"/>
          <w:sz w:val="21"/>
          <w:szCs w:val="21"/>
          <w:color w:val="auto"/>
        </w:rPr>
        <w:t>” means the Company’s principal executive officer,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 making functions for the Company. All executive officers identified by the Company pursuant to Item 401(b) of Regulation S-K shall be deemed to be Executive Officers.</w:t>
      </w:r>
    </w:p>
    <w:p>
      <w:pPr>
        <w:spacing w:after="0" w:line="147" w:lineRule="exact"/>
        <w:rPr>
          <w:sz w:val="20"/>
          <w:szCs w:val="20"/>
          <w:color w:val="auto"/>
        </w:rPr>
      </w:pPr>
    </w:p>
    <w:p>
      <w:pPr>
        <w:ind w:right="100" w:firstLine="631"/>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Financial Reporting Measure</w:t>
      </w:r>
      <w:r>
        <w:rPr>
          <w:rFonts w:ascii="Times New Roman" w:cs="Times New Roman" w:eastAsia="Times New Roman" w:hAnsi="Times New Roman"/>
          <w:sz w:val="21"/>
          <w:szCs w:val="21"/>
          <w:color w:val="auto"/>
        </w:rPr>
        <w:t>” means any measure that is determined and presented in accordance with the accounting principles used in preparing the Company’s financial statements, and any measures that are derived wholly or in part from such measures. Stock price and total shareholder return (whether absolute or relative) are also Financial Reporting Measures. A Financial Reporting Measure need not be presented within the financial statements or included in a filing with the Commission.</w:t>
      </w:r>
    </w:p>
    <w:p>
      <w:pPr>
        <w:spacing w:after="0" w:line="142" w:lineRule="exact"/>
        <w:rPr>
          <w:sz w:val="20"/>
          <w:szCs w:val="20"/>
          <w:color w:val="auto"/>
        </w:rPr>
      </w:pPr>
    </w:p>
    <w:p>
      <w:pPr>
        <w:ind w:right="220" w:firstLine="631"/>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Incentive-Based Compensation</w:t>
      </w:r>
      <w:r>
        <w:rPr>
          <w:rFonts w:ascii="Times New Roman" w:cs="Times New Roman" w:eastAsia="Times New Roman" w:hAnsi="Times New Roman"/>
          <w:sz w:val="21"/>
          <w:szCs w:val="21"/>
          <w:color w:val="auto"/>
        </w:rPr>
        <w:t>” means any compensation that is granted, earned, or vested based wholly or in part upon the attainment of a Financial Reporting Measure.</w:t>
      </w:r>
    </w:p>
    <w:p>
      <w:pPr>
        <w:spacing w:after="0" w:line="136" w:lineRule="exact"/>
        <w:rPr>
          <w:sz w:val="20"/>
          <w:szCs w:val="20"/>
          <w:color w:val="auto"/>
        </w:rPr>
      </w:pPr>
    </w:p>
    <w:p>
      <w:pPr>
        <w:ind w:right="180" w:firstLine="631"/>
        <w:spacing w:after="0" w:line="231" w:lineRule="auto"/>
        <w:rPr>
          <w:sz w:val="20"/>
          <w:szCs w:val="20"/>
          <w:color w:val="auto"/>
        </w:rPr>
      </w:pPr>
      <w:r>
        <w:rPr>
          <w:rFonts w:ascii="Times New Roman" w:cs="Times New Roman" w:eastAsia="Times New Roman" w:hAnsi="Times New Roman"/>
          <w:sz w:val="21"/>
          <w:szCs w:val="21"/>
          <w:color w:val="auto"/>
        </w:rPr>
        <w:t>Incentive-Based Compensation is deemed “</w:t>
      </w:r>
      <w:r>
        <w:rPr>
          <w:rFonts w:ascii="Times New Roman" w:cs="Times New Roman" w:eastAsia="Times New Roman" w:hAnsi="Times New Roman"/>
          <w:sz w:val="21"/>
          <w:szCs w:val="21"/>
          <w:b w:val="1"/>
          <w:bCs w:val="1"/>
          <w:color w:val="auto"/>
        </w:rPr>
        <w:t>Received</w:t>
      </w:r>
      <w:r>
        <w:rPr>
          <w:rFonts w:ascii="Times New Roman" w:cs="Times New Roman" w:eastAsia="Times New Roman" w:hAnsi="Times New Roman"/>
          <w:sz w:val="21"/>
          <w:szCs w:val="21"/>
          <w:color w:val="auto"/>
        </w:rPr>
        <w:t>” in the Company’s fiscal period during which the Financial Reporting Measure specified in the Incentive-Based Compensation award is attained, even if the payment or grant of the Incentive-Based Compensation occurs after the end of that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57" w:right="339" w:bottom="1440" w:gutter="0" w:footer="0" w:header="0"/>
        </w:sectPr>
      </w:pPr>
    </w:p>
    <w:bookmarkStart w:id="115" w:name="page116"/>
    <w:bookmarkEnd w:id="115"/>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Recoverable Incentive-Based Compensation</w:t>
      </w:r>
      <w:r>
        <w:rPr>
          <w:rFonts w:ascii="Times New Roman" w:cs="Times New Roman" w:eastAsia="Times New Roman" w:hAnsi="Times New Roman"/>
          <w:sz w:val="21"/>
          <w:szCs w:val="21"/>
          <w:color w:val="auto"/>
        </w:rPr>
        <w:t>” means all Incentive-Based Compensation Received by a person:</w:t>
      </w:r>
    </w:p>
    <w:p>
      <w:pPr>
        <w:spacing w:after="0" w:line="183" w:lineRule="exact"/>
        <w:rPr>
          <w:sz w:val="20"/>
          <w:szCs w:val="20"/>
          <w:color w:val="auto"/>
        </w:rPr>
      </w:pPr>
    </w:p>
    <w:p>
      <w:pPr>
        <w:ind w:left="1720" w:hanging="453"/>
        <w:spacing w:after="0"/>
        <w:tabs>
          <w:tab w:leader="none" w:pos="172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the later of (i) beginning service as an Executive Officer and (ii) the Effective Date;</w:t>
      </w:r>
    </w:p>
    <w:p>
      <w:pPr>
        <w:spacing w:after="0" w:line="179" w:lineRule="exact"/>
        <w:rPr>
          <w:rFonts w:ascii="Times New Roman" w:cs="Times New Roman" w:eastAsia="Times New Roman" w:hAnsi="Times New Roman"/>
          <w:sz w:val="21"/>
          <w:szCs w:val="21"/>
          <w:color w:val="auto"/>
        </w:rPr>
      </w:pPr>
    </w:p>
    <w:p>
      <w:pPr>
        <w:ind w:left="640" w:right="800" w:firstLine="627"/>
        <w:spacing w:after="0" w:line="242" w:lineRule="auto"/>
        <w:tabs>
          <w:tab w:leader="none" w:pos="1726"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who served as an Executive Officer at any time during the performance period for that Incentive-Based Compensation;</w:t>
      </w:r>
    </w:p>
    <w:p>
      <w:pPr>
        <w:spacing w:after="0" w:line="143" w:lineRule="exact"/>
        <w:rPr>
          <w:rFonts w:ascii="Times New Roman" w:cs="Times New Roman" w:eastAsia="Times New Roman" w:hAnsi="Times New Roman"/>
          <w:sz w:val="21"/>
          <w:szCs w:val="21"/>
          <w:color w:val="auto"/>
        </w:rPr>
      </w:pPr>
    </w:p>
    <w:p>
      <w:pPr>
        <w:ind w:left="640" w:right="540" w:firstLine="627"/>
        <w:spacing w:after="0" w:line="242" w:lineRule="auto"/>
        <w:tabs>
          <w:tab w:leader="none" w:pos="1715"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while the Company has a class of securities listed on a national securities exchange or a national securities association; and</w:t>
      </w:r>
    </w:p>
    <w:p>
      <w:pPr>
        <w:spacing w:after="0" w:line="143" w:lineRule="exact"/>
        <w:rPr>
          <w:rFonts w:ascii="Times New Roman" w:cs="Times New Roman" w:eastAsia="Times New Roman" w:hAnsi="Times New Roman"/>
          <w:sz w:val="21"/>
          <w:szCs w:val="21"/>
          <w:color w:val="auto"/>
        </w:rPr>
      </w:pPr>
    </w:p>
    <w:p>
      <w:pPr>
        <w:ind w:left="1720" w:hanging="453"/>
        <w:spacing w:after="0"/>
        <w:tabs>
          <w:tab w:leader="none" w:pos="172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Recovery Period.</w:t>
      </w:r>
    </w:p>
    <w:p>
      <w:pPr>
        <w:spacing w:after="0" w:line="175" w:lineRule="exact"/>
        <w:rPr>
          <w:sz w:val="20"/>
          <w:szCs w:val="20"/>
          <w:color w:val="auto"/>
        </w:rPr>
      </w:pPr>
    </w:p>
    <w:p>
      <w:pPr>
        <w:ind w:right="100" w:firstLine="631"/>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Recovery Period</w:t>
      </w:r>
      <w:r>
        <w:rPr>
          <w:rFonts w:ascii="Times New Roman" w:cs="Times New Roman" w:eastAsia="Times New Roman" w:hAnsi="Times New Roman"/>
          <w:sz w:val="21"/>
          <w:szCs w:val="21"/>
          <w:color w:val="auto"/>
        </w:rPr>
        <w:t>” means the three completed fiscal years immediately preceding the Restatement Date. The Recovery Period also includes any transition period (that results from a change in the Company’s fiscal year) within or immediately following those three completed fiscal years. A transition period between the last day of the Company’s previous fiscal year end and the first day of its new fiscal year that comprises a period of nine to 12 months shall be deemed a completed fiscal year.</w:t>
      </w:r>
    </w:p>
    <w:p>
      <w:pPr>
        <w:spacing w:after="0" w:line="142" w:lineRule="exact"/>
        <w:rPr>
          <w:sz w:val="20"/>
          <w:szCs w:val="20"/>
          <w:color w:val="auto"/>
        </w:rPr>
      </w:pPr>
    </w:p>
    <w:p>
      <w:pPr>
        <w:ind w:firstLine="631"/>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Restatement Date</w:t>
      </w:r>
      <w:r>
        <w:rPr>
          <w:rFonts w:ascii="Times New Roman" w:cs="Times New Roman" w:eastAsia="Times New Roman" w:hAnsi="Times New Roman"/>
          <w:sz w:val="21"/>
          <w:szCs w:val="21"/>
          <w:color w:val="auto"/>
        </w:rPr>
        <w:t>” means the date that the Company is required to prepare an Accounting Restatement, which is the earlier to occur of:</w:t>
      </w:r>
    </w:p>
    <w:p>
      <w:pPr>
        <w:spacing w:after="0" w:line="140" w:lineRule="exact"/>
        <w:rPr>
          <w:sz w:val="20"/>
          <w:szCs w:val="20"/>
          <w:color w:val="auto"/>
        </w:rPr>
      </w:pPr>
    </w:p>
    <w:p>
      <w:pPr>
        <w:ind w:left="640" w:right="60" w:firstLine="627"/>
        <w:spacing w:after="0" w:line="230" w:lineRule="auto"/>
        <w:tabs>
          <w:tab w:leader="none" w:pos="1715"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the Company’s Board of Directors, a committee of the Board of Directors, or the officer or officers of the Company authorized to take such action if Board action is not required, concludes, or reasonably should have concluded, that the Company is required to prepare an Accounting Restatement; or</w:t>
      </w:r>
    </w:p>
    <w:p>
      <w:pPr>
        <w:spacing w:after="0" w:line="146" w:lineRule="exact"/>
        <w:rPr>
          <w:rFonts w:ascii="Times New Roman" w:cs="Times New Roman" w:eastAsia="Times New Roman" w:hAnsi="Times New Roman"/>
          <w:sz w:val="21"/>
          <w:szCs w:val="21"/>
          <w:color w:val="auto"/>
        </w:rPr>
      </w:pPr>
    </w:p>
    <w:p>
      <w:pPr>
        <w:ind w:left="640" w:right="560" w:firstLine="627"/>
        <w:spacing w:after="0" w:line="242" w:lineRule="auto"/>
        <w:tabs>
          <w:tab w:leader="none" w:pos="1726"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a court, regulator, or other legally authorized body directs the Company to prepare an Accounting Restatement.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00"/>
          </w:cols>
          <w:pgMar w:left="320" w:top="1357" w:right="379" w:bottom="1440" w:gutter="0" w:footer="0" w:header="0"/>
        </w:sectPr>
      </w:pPr>
    </w:p>
    <w:bookmarkStart w:id="116" w:name="page117"/>
    <w:bookmarkEnd w:id="116"/>
    <w:p>
      <w:pPr>
        <w:spacing w:after="0" w:line="1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KVH Industries, Inc.</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Compensation Recovery Policy Acknowledgement and Agreement</w:t>
      </w:r>
    </w:p>
    <w:p>
      <w:pPr>
        <w:spacing w:after="0" w:line="179" w:lineRule="exact"/>
        <w:rPr>
          <w:sz w:val="20"/>
          <w:szCs w:val="20"/>
          <w:color w:val="auto"/>
        </w:rPr>
      </w:pPr>
    </w:p>
    <w:p>
      <w:pPr>
        <w:ind w:right="160" w:firstLine="631"/>
        <w:spacing w:after="0" w:line="246" w:lineRule="auto"/>
        <w:rPr>
          <w:sz w:val="20"/>
          <w:szCs w:val="20"/>
          <w:color w:val="auto"/>
        </w:rPr>
      </w:pPr>
      <w:r>
        <w:rPr>
          <w:rFonts w:ascii="Times New Roman" w:cs="Times New Roman" w:eastAsia="Times New Roman" w:hAnsi="Times New Roman"/>
          <w:sz w:val="21"/>
          <w:szCs w:val="21"/>
          <w:color w:val="auto"/>
        </w:rPr>
        <w:t>The undersigned has received a copy of the Compensation Recovery Policy (as amended from time to time, the “</w:t>
      </w:r>
      <w:r>
        <w:rPr>
          <w:rFonts w:ascii="Times New Roman" w:cs="Times New Roman" w:eastAsia="Times New Roman" w:hAnsi="Times New Roman"/>
          <w:sz w:val="21"/>
          <w:szCs w:val="21"/>
          <w:b w:val="1"/>
          <w:bCs w:val="1"/>
          <w:color w:val="auto"/>
        </w:rPr>
        <w:t>Policy</w:t>
      </w:r>
      <w:r>
        <w:rPr>
          <w:rFonts w:ascii="Times New Roman" w:cs="Times New Roman" w:eastAsia="Times New Roman" w:hAnsi="Times New Roman"/>
          <w:sz w:val="21"/>
          <w:szCs w:val="21"/>
          <w:color w:val="auto"/>
        </w:rPr>
        <w:t>”) of KVH Industries,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w:t>
      </w:r>
    </w:p>
    <w:p>
      <w:pPr>
        <w:spacing w:after="0" w:line="140" w:lineRule="exact"/>
        <w:rPr>
          <w:sz w:val="20"/>
          <w:szCs w:val="20"/>
          <w:color w:val="auto"/>
        </w:rPr>
      </w:pPr>
    </w:p>
    <w:p>
      <w:pPr>
        <w:ind w:right="860" w:firstLine="631"/>
        <w:spacing w:after="0" w:line="242" w:lineRule="auto"/>
        <w:rPr>
          <w:sz w:val="20"/>
          <w:szCs w:val="20"/>
          <w:color w:val="auto"/>
        </w:rPr>
      </w:pPr>
      <w:r>
        <w:rPr>
          <w:rFonts w:ascii="Times New Roman" w:cs="Times New Roman" w:eastAsia="Times New Roman" w:hAnsi="Times New Roman"/>
          <w:sz w:val="21"/>
          <w:szCs w:val="21"/>
          <w:color w:val="auto"/>
        </w:rPr>
        <w:t>The undersigned has read and understands the Policy. To the extent that the undersigned considered appropriate, the undersigned has consulted with the undersigned’s own tax, legal, financial and other advisors regarding the Policy.</w:t>
      </w:r>
    </w:p>
    <w:p>
      <w:pPr>
        <w:spacing w:after="0" w:line="144" w:lineRule="exact"/>
        <w:rPr>
          <w:sz w:val="20"/>
          <w:szCs w:val="20"/>
          <w:color w:val="auto"/>
        </w:rPr>
      </w:pPr>
    </w:p>
    <w:p>
      <w:pPr>
        <w:ind w:right="160" w:firstLine="631"/>
        <w:spacing w:after="0" w:line="218" w:lineRule="auto"/>
        <w:rPr>
          <w:sz w:val="20"/>
          <w:szCs w:val="20"/>
          <w:color w:val="auto"/>
        </w:rPr>
      </w:pPr>
      <w:r>
        <w:rPr>
          <w:rFonts w:ascii="Times New Roman" w:cs="Times New Roman" w:eastAsia="Times New Roman" w:hAnsi="Times New Roman"/>
          <w:sz w:val="21"/>
          <w:szCs w:val="21"/>
          <w:color w:val="auto"/>
        </w:rPr>
        <w:t>The undersigned hereby acknowledges and agrees that the undersigned is an “Executive Officer” within the meaning of the Policy and that the Policy applies in full to the undersigned. The undersigned hereby agrees to comply with all of the obligations of the undersigned under the Policy as an Executive Officer of the Company. The undersigned acknowledges that the Policy imposes legally binding obligations on the undersigned, including the obligation to reimburse the Company for “Erroneously Awarded Incentive-Based Compensation” within the meaning of the Policy. The undersigned hereby acknowledges and agrees that that these obligations will continue even if the undersigned ceases to serve as an Executive Officer or the employment of the undersigned terminates for any reason.</w:t>
      </w:r>
    </w:p>
    <w:p>
      <w:pPr>
        <w:spacing w:after="0" w:line="14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Executive Officer: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-143510</wp:posOffset>
            </wp:positionV>
            <wp:extent cx="9347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4">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-143510</wp:posOffset>
            </wp:positionV>
            <wp:extent cx="9347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5">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-143510</wp:posOffset>
            </wp:positionV>
            <wp:extent cx="9347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6">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1)"/>
      <w:numFmt w:val="lowerLetter"/>
      <w:start w:val="1"/>
    </w:lvl>
    <w:lvl w:ilvl="1">
      <w:lvlJc w:val="left"/>
      <w:lvlText w:val="%2."/>
      <w:numFmt w:val="decimal"/>
      <w:start w:val="3"/>
    </w:lvl>
  </w:abstractNum>
  <w:abstractNum w:abstractNumId="6">
    <w:nsid w:val="579478FE"/>
    <w:multiLevelType w:val="hybridMultilevel"/>
    <w:lvl w:ilvl="0">
      <w:lvlJc w:val="left"/>
      <w:lvlText w:val="(%1)"/>
      <w:numFmt w:val="lowerLetter"/>
      <w:start w:val="4"/>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1)"/>
      <w:numFmt w:val="decimal"/>
      <w:start w:val="1"/>
    </w:lvl>
  </w:abstractNum>
  <w:abstractNum w:abstractNumId="9">
    <w:nsid w:val="1BA026FA"/>
    <w:multiLevelType w:val="hybridMultilevel"/>
    <w:lvl w:ilvl="0">
      <w:lvlJc w:val="left"/>
      <w:lvlText w:val="(%1)"/>
      <w:numFmt w:val="lowerLetter"/>
      <w:start w:val="1"/>
    </w:lvl>
  </w:abstractNum>
  <w:abstractNum w:abstractNumId="10">
    <w:nsid w:val="79A1DEAA"/>
    <w:multiLevelType w:val="hybridMultilevel"/>
    <w:lvl w:ilvl="0">
      <w:lvlJc w:val="left"/>
      <w:lvlText w:val="(%1)"/>
      <w:numFmt w:val="lowerLetter"/>
      <w:start w:val="2"/>
    </w:lvl>
  </w:abstractNum>
  <w:abstractNum w:abstractNumId="11">
    <w:nsid w:val="75C6C33A"/>
    <w:multiLevelType w:val="hybridMultilevel"/>
    <w:lvl w:ilvl="0">
      <w:lvlJc w:val="left"/>
      <w:lvlText w:val="(%1)"/>
      <w:numFmt w:val="lowerLetter"/>
      <w:start w:val="3"/>
    </w:lvl>
  </w:abstractNum>
  <w:abstractNum w:abstractNumId="12">
    <w:nsid w:val="12E685FB"/>
    <w:multiLevelType w:val="hybridMultilevel"/>
    <w:lvl w:ilvl="0">
      <w:lvlJc w:val="left"/>
      <w:lvlText w:val="(%1)"/>
      <w:numFmt w:val="lowerLetter"/>
      <w:start w:val="4"/>
    </w:lvl>
  </w:abstractNum>
  <w:abstractNum w:abstractNumId="13">
    <w:nsid w:val="70C6A529"/>
    <w:multiLevelType w:val="hybridMultilevel"/>
    <w:lvl w:ilvl="0">
      <w:lvlJc w:val="left"/>
      <w:lvlText w:val="(%1)"/>
      <w:numFmt w:val="lowerLetter"/>
      <w:start w:val="5"/>
    </w:lvl>
  </w:abstractNum>
  <w:abstractNum w:abstractNumId="14">
    <w:nsid w:val="520EEDD1"/>
    <w:multiLevelType w:val="hybridMultilevel"/>
    <w:lvl w:ilvl="0">
      <w:lvlJc w:val="left"/>
      <w:lvlText w:val="(%1)"/>
      <w:numFmt w:val="lowerLetter"/>
      <w:start w:val="6"/>
    </w:lvl>
  </w:abstractNum>
  <w:abstractNum w:abstractNumId="15">
    <w:nsid w:val="374A3FE6"/>
    <w:multiLevelType w:val="hybridMultilevel"/>
    <w:lvl w:ilvl="0">
      <w:lvlJc w:val="left"/>
      <w:lvlText w:val="(%1)"/>
      <w:numFmt w:val="lowerRoman"/>
      <w:start w:val="3"/>
    </w:lvl>
  </w:abstractNum>
  <w:abstractNum w:abstractNumId="16">
    <w:nsid w:val="4F4EF005"/>
    <w:multiLevelType w:val="hybridMultilevel"/>
    <w:lvl w:ilvl="0">
      <w:lvlJc w:val="left"/>
      <w:lvlText w:val="%1)"/>
      <w:numFmt w:val="decimal"/>
      <w:start w:val="5"/>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1)"/>
      <w:numFmt w:val="lowerLetter"/>
      <w:start w:val="7"/>
    </w:lvl>
  </w:abstractNum>
  <w:abstractNum w:abstractNumId="19">
    <w:nsid w:val="275AC794"/>
    <w:multiLevelType w:val="hybridMultilevel"/>
    <w:lvl w:ilvl="0">
      <w:lvlJc w:val="left"/>
      <w:lvlText w:val="(%1)"/>
      <w:numFmt w:val="lowerLetter"/>
      <w:start w:val="8"/>
    </w:lvl>
  </w:abstractNum>
  <w:abstractNum w:abstractNumId="20">
    <w:nsid w:val="39386575"/>
    <w:multiLevelType w:val="hybridMultilevel"/>
    <w:lvl w:ilvl="0">
      <w:lvlJc w:val="left"/>
      <w:lvlText w:val="(%1)"/>
      <w:numFmt w:val="lowerRoman"/>
      <w:start w:val="1"/>
    </w:lvl>
  </w:abstractNum>
  <w:abstractNum w:abstractNumId="21">
    <w:nsid w:val="1CF10FD8"/>
    <w:multiLevelType w:val="hybridMultilevel"/>
    <w:lvl w:ilvl="0">
      <w:lvlJc w:val="left"/>
      <w:lvlText w:val="(%1)"/>
      <w:numFmt w:val="lowerLetter"/>
      <w:start w:val="10"/>
    </w:lvl>
  </w:abstractNum>
  <w:abstractNum w:abstractNumId="22">
    <w:nsid w:val="180115BE"/>
    <w:multiLevelType w:val="hybridMultilevel"/>
    <w:lvl w:ilvl="0">
      <w:lvlJc w:val="left"/>
      <w:lvlText w:val="(%1)"/>
      <w:numFmt w:val="lowerLetter"/>
      <w:start w:val="11"/>
    </w:lvl>
  </w:abstractNum>
  <w:abstractNum w:abstractNumId="23">
    <w:nsid w:val="235BA861"/>
    <w:multiLevelType w:val="hybridMultilevel"/>
    <w:lvl w:ilvl="0">
      <w:lvlJc w:val="left"/>
      <w:lvlText w:val="(%1)"/>
      <w:numFmt w:val="lowerLetter"/>
      <w:start w:val="12"/>
    </w:lvl>
  </w:abstractNum>
  <w:abstractNum w:abstractNumId="24">
    <w:nsid w:val="47398C89"/>
    <w:multiLevelType w:val="hybridMultilevel"/>
    <w:lvl w:ilvl="0">
      <w:lvlJc w:val="left"/>
      <w:lvlText w:val="(%1)"/>
      <w:numFmt w:val="lowerLetter"/>
      <w:start w:val="13"/>
    </w:lvl>
  </w:abstractNum>
  <w:abstractNum w:abstractNumId="25">
    <w:nsid w:val="354FE9F9"/>
    <w:multiLevelType w:val="hybridMultilevel"/>
    <w:lvl w:ilvl="0">
      <w:lvlJc w:val="left"/>
      <w:lvlText w:val="(%1)"/>
      <w:numFmt w:val="lowerLetter"/>
      <w:start w:val="15"/>
    </w:lvl>
  </w:abstractNum>
  <w:abstractNum w:abstractNumId="26">
    <w:nsid w:val="15B5AF5C"/>
    <w:multiLevelType w:val="hybridMultilevel"/>
    <w:lvl w:ilvl="0">
      <w:lvlJc w:val="left"/>
      <w:lvlText w:val="(%1)"/>
      <w:numFmt w:val="lowerLetter"/>
      <w:start w:val="16"/>
    </w:lvl>
  </w:abstractNum>
  <w:abstractNum w:abstractNumId="27">
    <w:nsid w:val="741226BB"/>
    <w:multiLevelType w:val="hybridMultilevel"/>
    <w:lvl w:ilvl="0">
      <w:lvlJc w:val="left"/>
      <w:lvlText w:val="(%1)"/>
      <w:numFmt w:val="lowerLetter"/>
      <w:start w:val="18"/>
    </w:lvl>
  </w:abstractNum>
  <w:abstractNum w:abstractNumId="28">
    <w:nsid w:val="D34B6A8"/>
    <w:multiLevelType w:val="hybridMultilevel"/>
    <w:lvl w:ilvl="0">
      <w:lvlJc w:val="left"/>
      <w:lvlText w:val="(%1)"/>
      <w:numFmt w:val="lowerLetter"/>
      <w:start w:val="19"/>
    </w:lvl>
  </w:abstractNum>
  <w:abstractNum w:abstractNumId="29">
    <w:nsid w:val="10233C99"/>
    <w:multiLevelType w:val="hybridMultilevel"/>
    <w:lvl w:ilvl="0">
      <w:lvlJc w:val="left"/>
      <w:lvlText w:val="(%1)"/>
      <w:numFmt w:val="lowerLetter"/>
      <w:start w:val="20"/>
    </w:lvl>
  </w:abstractNum>
  <w:abstractNum w:abstractNumId="30">
    <w:nsid w:val="3F6AB60F"/>
    <w:multiLevelType w:val="hybridMultilevel"/>
    <w:lvl w:ilvl="0">
      <w:lvlJc w:val="left"/>
      <w:lvlText w:val="(%1)"/>
      <w:numFmt w:val="lowerLetter"/>
      <w:start w:val="21"/>
    </w:lvl>
  </w:abstractNum>
  <w:abstractNum w:abstractNumId="31">
    <w:nsid w:val="61574095"/>
    <w:multiLevelType w:val="hybridMultilevel"/>
    <w:lvl w:ilvl="0">
      <w:lvlJc w:val="left"/>
      <w:lvlText w:val="(%1)"/>
      <w:numFmt w:val="lowerRoman"/>
      <w:start w:val="5"/>
    </w:lvl>
  </w:abstractNum>
  <w:abstractNum w:abstractNumId="32">
    <w:nsid w:val="7E0C57B1"/>
    <w:multiLevelType w:val="hybridMultilevel"/>
    <w:lvl w:ilvl="0">
      <w:lvlJc w:val="left"/>
      <w:lvlText w:val="(%1)"/>
      <w:numFmt w:val="lowerLetter"/>
      <w:start w:val="23"/>
    </w:lvl>
  </w:abstractNum>
  <w:abstractNum w:abstractNumId="33">
    <w:nsid w:val="77AE35EB"/>
    <w:multiLevelType w:val="hybridMultilevel"/>
    <w:lvl w:ilvl="0">
      <w:lvlJc w:val="left"/>
      <w:lvlText w:val="(%1)"/>
      <w:numFmt w:val="decimal"/>
      <w:start w:val="2"/>
    </w:lvl>
  </w:abstractNum>
  <w:abstractNum w:abstractNumId="34">
    <w:nsid w:val="579BE4F1"/>
    <w:multiLevelType w:val="hybridMultilevel"/>
    <w:lvl w:ilvl="0">
      <w:lvlJc w:val="left"/>
      <w:lvlText w:val="(%1)"/>
      <w:numFmt w:val="decimal"/>
      <w:start w:val="3"/>
    </w:lvl>
  </w:abstractNum>
  <w:abstractNum w:abstractNumId="35">
    <w:nsid w:val="310C50B3"/>
    <w:multiLevelType w:val="hybridMultilevel"/>
    <w:lvl w:ilvl="0">
      <w:lvlJc w:val="left"/>
      <w:lvlText w:val="(%1)"/>
      <w:numFmt w:val="decimal"/>
      <w:start w:val="5"/>
    </w:lvl>
  </w:abstractNum>
  <w:abstractNum w:abstractNumId="36">
    <w:nsid w:val="5FF87E05"/>
    <w:multiLevelType w:val="hybridMultilevel"/>
    <w:lvl w:ilvl="0">
      <w:lvlJc w:val="left"/>
      <w:lvlText w:val="(%1)"/>
      <w:numFmt w:val="decimal"/>
      <w:start w:val="6"/>
    </w:lvl>
  </w:abstractNum>
  <w:abstractNum w:abstractNumId="37">
    <w:nsid w:val="2F305DEF"/>
    <w:multiLevelType w:val="hybridMultilevel"/>
    <w:lvl w:ilvl="0">
      <w:lvlJc w:val="left"/>
      <w:lvlText w:val="(%1)"/>
      <w:numFmt w:val="lowerLetter"/>
      <w:start w:val="1"/>
    </w:lvl>
  </w:abstractNum>
  <w:abstractNum w:abstractNumId="38">
    <w:nsid w:val="25A70BF7"/>
    <w:multiLevelType w:val="hybridMultilevel"/>
    <w:lvl w:ilvl="0">
      <w:lvlJc w:val="left"/>
      <w:lvlText w:val="(%1)"/>
      <w:numFmt w:val="decimal"/>
      <w:start w:val="13"/>
    </w:lvl>
  </w:abstractNum>
  <w:abstractNum w:abstractNumId="39">
    <w:nsid w:val="1DBABF00"/>
    <w:multiLevelType w:val="hybridMultilevel"/>
    <w:lvl w:ilvl="0">
      <w:lvlJc w:val="left"/>
      <w:lvlText w:val="(%1)"/>
      <w:numFmt w:val="decimal"/>
      <w:start w:val="14"/>
    </w:lvl>
  </w:abstractNum>
  <w:abstractNum w:abstractNumId="40">
    <w:nsid w:val="4AD084E9"/>
    <w:multiLevelType w:val="hybridMultilevel"/>
    <w:lvl w:ilvl="0">
      <w:lvlJc w:val="left"/>
      <w:lvlText w:val="(%1)"/>
      <w:numFmt w:val="decimal"/>
      <w:start w:val="1"/>
    </w:lvl>
  </w:abstractNum>
  <w:abstractNum w:abstractNumId="41">
    <w:nsid w:val="1F48EAA1"/>
    <w:multiLevelType w:val="hybridMultilevel"/>
    <w:lvl w:ilvl="0">
      <w:lvlJc w:val="left"/>
      <w:lvlText w:val="•"/>
      <w:numFmt w:val="bullet"/>
      <w:start w:val="1"/>
    </w:lvl>
  </w:abstractNum>
  <w:abstractNum w:abstractNumId="42">
    <w:nsid w:val="1381823A"/>
    <w:multiLevelType w:val="hybridMultilevel"/>
    <w:lvl w:ilvl="0">
      <w:lvlJc w:val="left"/>
      <w:lvlText w:val="•"/>
      <w:numFmt w:val="bullet"/>
      <w:start w:val="1"/>
    </w:lvl>
  </w:abstractNum>
  <w:abstractNum w:abstractNumId="43">
    <w:nsid w:val="5DB70AE5"/>
    <w:multiLevelType w:val="hybridMultilevel"/>
    <w:lvl w:ilvl="0">
      <w:lvlJc w:val="left"/>
      <w:lvlText w:val="•"/>
      <w:numFmt w:val="bullet"/>
      <w:start w:val="1"/>
    </w:lvl>
  </w:abstractNum>
  <w:abstractNum w:abstractNumId="44">
    <w:nsid w:val="100F8FCA"/>
    <w:multiLevelType w:val="hybridMultilevel"/>
    <w:lvl w:ilvl="0">
      <w:lvlJc w:val="left"/>
      <w:lvlText w:val="•"/>
      <w:numFmt w:val="bullet"/>
      <w:start w:val="1"/>
    </w:lvl>
  </w:abstractNum>
  <w:abstractNum w:abstractNumId="45">
    <w:nsid w:val="6590700B"/>
    <w:multiLevelType w:val="hybridMultilevel"/>
    <w:lvl w:ilvl="0">
      <w:lvlJc w:val="left"/>
      <w:lvlText w:val="•"/>
      <w:numFmt w:val="bullet"/>
      <w:start w:val="1"/>
    </w:lvl>
  </w:abstractNum>
  <w:abstractNum w:abstractNumId="46">
    <w:nsid w:val="15014ACB"/>
    <w:multiLevelType w:val="hybridMultilevel"/>
    <w:lvl w:ilvl="0">
      <w:lvlJc w:val="left"/>
      <w:lvlText w:val="•"/>
      <w:numFmt w:val="bullet"/>
      <w:start w:val="1"/>
    </w:lvl>
  </w:abstractNum>
  <w:abstractNum w:abstractNumId="47">
    <w:nsid w:val="5F5E7FD0"/>
    <w:multiLevelType w:val="hybridMultilevel"/>
    <w:lvl w:ilvl="0">
      <w:lvlJc w:val="left"/>
      <w:lvlText w:val="(%1)"/>
      <w:numFmt w:val="lowerLetter"/>
      <w:start w:val="2"/>
    </w:lvl>
    <w:lvl w:ilvl="1">
      <w:lvlJc w:val="left"/>
      <w:lvlText w:val="%2."/>
      <w:numFmt w:val="decimal"/>
      <w:start w:val="2"/>
    </w:lvl>
    <w:lvl w:ilvl="2">
      <w:lvlJc w:val="left"/>
      <w:lvlText w:val="%3."/>
      <w:numFmt w:val="decimal"/>
      <w:start w:val="1"/>
    </w:lvl>
  </w:abstractNum>
  <w:abstractNum w:abstractNumId="48">
    <w:nsid w:val="98A3148"/>
    <w:multiLevelType w:val="hybridMultilevel"/>
    <w:lvl w:ilvl="0">
      <w:lvlJc w:val="left"/>
      <w:lvlText w:val="%1."/>
      <w:numFmt w:val="decimal"/>
      <w:start w:val="4"/>
    </w:lvl>
  </w:abstractNum>
  <w:abstractNum w:abstractNumId="49">
    <w:nsid w:val="799D0247"/>
    <w:multiLevelType w:val="hybridMultilevel"/>
    <w:lvl w:ilvl="0">
      <w:lvlJc w:val="left"/>
      <w:lvlText w:val="%1."/>
      <w:numFmt w:val="decimal"/>
      <w:start w:val="1"/>
    </w:lvl>
    <w:lvl w:ilvl="1">
      <w:lvlJc w:val="left"/>
      <w:lvlText w:val="(%2)"/>
      <w:numFmt w:val="lowerLetter"/>
      <w:start w:val="1"/>
    </w:lvl>
  </w:abstractNum>
  <w:abstractNum w:abstractNumId="50">
    <w:nsid w:val="6B94764"/>
    <w:multiLevelType w:val="hybridMultilevel"/>
    <w:lvl w:ilvl="0">
      <w:lvlJc w:val="left"/>
      <w:lvlText w:val="%1."/>
      <w:numFmt w:val="decimal"/>
      <w:start w:val="2"/>
    </w:lvl>
    <w:lvl w:ilvl="1">
      <w:lvlJc w:val="left"/>
      <w:lvlText w:val="(%2)"/>
      <w:numFmt w:val="lowerLetter"/>
      <w:start w:val="1"/>
    </w:lvl>
  </w:abstractNum>
  <w:abstractNum w:abstractNumId="51">
    <w:nsid w:val="42C296BD"/>
    <w:multiLevelType w:val="hybridMultilevel"/>
    <w:lvl w:ilvl="0">
      <w:lvlJc w:val="left"/>
      <w:lvlText w:val="%1"/>
      <w:numFmt w:val="decimal"/>
      <w:start w:val="1"/>
    </w:lvl>
    <w:lvl w:ilvl="1">
      <w:lvlJc w:val="left"/>
      <w:lvlText w:val="(%2)"/>
      <w:numFmt w:val="lowerLetter"/>
      <w:start w:val="3"/>
    </w:lvl>
  </w:abstractNum>
  <w:abstractNum w:abstractNumId="52">
    <w:nsid w:val="168E121F"/>
    <w:multiLevelType w:val="hybridMultilevel"/>
    <w:lvl w:ilvl="0">
      <w:lvlJc w:val="left"/>
      <w:lvlText w:val="%1."/>
      <w:numFmt w:val="decimal"/>
      <w:start w:val="4"/>
    </w:lvl>
    <w:lvl w:ilvl="1">
      <w:lvlJc w:val="left"/>
      <w:lvlText w:val="(%2)"/>
      <w:numFmt w:val="lowerLetter"/>
      <w:start w:val="1"/>
    </w:lvl>
  </w:abstractNum>
  <w:abstractNum w:abstractNumId="53">
    <w:nsid w:val="1EBA5D23"/>
    <w:multiLevelType w:val="hybridMultilevel"/>
    <w:lvl w:ilvl="0">
      <w:lvlJc w:val="left"/>
      <w:lvlText w:val="%1"/>
      <w:numFmt w:val="decimal"/>
      <w:start w:val="1"/>
    </w:lvl>
    <w:lvl w:ilvl="1">
      <w:lvlJc w:val="left"/>
      <w:lvlText w:val="(%2)"/>
      <w:numFmt w:val="lowerLetter"/>
      <w:start w:val="2"/>
    </w:lvl>
  </w:abstractNum>
  <w:abstractNum w:abstractNumId="54">
    <w:nsid w:val="661E3F1E"/>
    <w:multiLevelType w:val="hybridMultilevel"/>
    <w:lvl w:ilvl="0">
      <w:lvlJc w:val="left"/>
      <w:lvlText w:val="%1."/>
      <w:numFmt w:val="decimal"/>
      <w:start w:val="7"/>
    </w:lvl>
    <w:lvl w:ilvl="1">
      <w:lvlJc w:val="left"/>
      <w:lvlText w:val="(%2)"/>
      <w:numFmt w:val="lowerLetter"/>
      <w:start w:val="1"/>
    </w:lvl>
  </w:abstractNum>
  <w:abstractNum w:abstractNumId="55">
    <w:nsid w:val="5DC79EA8"/>
    <w:multiLevelType w:val="hybridMultilevel"/>
    <w:lvl w:ilvl="0">
      <w:lvlJc w:val="left"/>
      <w:lvlText w:val="(%1)"/>
      <w:numFmt w:val="lowerLetter"/>
      <w:start w:val="2"/>
    </w:lvl>
  </w:abstractNum>
  <w:abstractNum w:abstractNumId="56">
    <w:nsid w:val="540A471C"/>
    <w:multiLevelType w:val="hybridMultilevel"/>
    <w:lvl w:ilvl="0">
      <w:lvlJc w:val="left"/>
      <w:lvlText w:val="%1"/>
      <w:numFmt w:val="decimal"/>
      <w:start w:val="1"/>
    </w:lvl>
    <w:lvl w:ilvl="1">
      <w:lvlJc w:val="left"/>
      <w:lvlText w:val="(%2)"/>
      <w:numFmt w:val="lowerLetter"/>
      <w:start w:val="4"/>
    </w:lvl>
  </w:abstractNum>
  <w:abstractNum w:abstractNumId="57">
    <w:nsid w:val="7BD3EE7B"/>
    <w:multiLevelType w:val="hybridMultilevel"/>
    <w:lvl w:ilvl="0">
      <w:lvlJc w:val="left"/>
      <w:lvlText w:val="(%1)"/>
      <w:numFmt w:val="decimal"/>
      <w:start w:val="15"/>
    </w:lvl>
    <w:lvl w:ilvl="1">
      <w:lvlJc w:val="left"/>
      <w:lvlText w:val="%2"/>
      <w:numFmt w:val="lowerLetter"/>
      <w:start w:val="1"/>
    </w:lvl>
  </w:abstractNum>
  <w:abstractNum w:abstractNumId="58">
    <w:nsid w:val="51D9C564"/>
    <w:multiLevelType w:val="hybridMultilevel"/>
    <w:lvl w:ilvl="0">
      <w:lvlJc w:val="left"/>
      <w:lvlText w:val="(%1)"/>
      <w:numFmt w:val="decimal"/>
      <w:start w:val="90"/>
    </w:lvl>
    <w:lvl w:ilvl="1">
      <w:lvlJc w:val="left"/>
      <w:lvlText w:val="%2"/>
      <w:numFmt w:val="lowerLetter"/>
      <w:start w:val="1"/>
    </w:lvl>
  </w:abstractNum>
  <w:abstractNum w:abstractNumId="59">
    <w:nsid w:val="613EFDC5"/>
    <w:multiLevelType w:val="hybridMultilevel"/>
    <w:lvl w:ilvl="0">
      <w:lvlJc w:val="left"/>
      <w:lvlText w:val="(%1)"/>
      <w:numFmt w:val="decimal"/>
      <w:start w:val="15"/>
    </w:lvl>
    <w:lvl w:ilvl="1">
      <w:lvlJc w:val="left"/>
      <w:lvlText w:val="%2"/>
      <w:numFmt w:val="lowerLetter"/>
      <w:start w:val="1"/>
    </w:lvl>
  </w:abstractNum>
  <w:abstractNum w:abstractNumId="60">
    <w:nsid w:val="BF72B14"/>
    <w:multiLevelType w:val="hybridMultilevel"/>
    <w:lvl w:ilvl="0">
      <w:lvlJc w:val="left"/>
      <w:lvlText w:val="(%1)"/>
      <w:numFmt w:val="decimal"/>
      <w:start w:val="75"/>
    </w:lvl>
    <w:lvl w:ilvl="1">
      <w:lvlJc w:val="left"/>
      <w:lvlText w:val="%2"/>
      <w:numFmt w:val="lowerLetter"/>
      <w:start w:val="1"/>
    </w:lvl>
  </w:abstractNum>
  <w:abstractNum w:abstractNumId="61">
    <w:nsid w:val="11447B73"/>
    <w:multiLevelType w:val="hybridMultilevel"/>
    <w:lvl w:ilvl="0">
      <w:lvlJc w:val="left"/>
      <w:lvlText w:val="%1"/>
      <w:numFmt w:val="decimal"/>
      <w:start w:val="1"/>
    </w:lvl>
    <w:lvl w:ilvl="1">
      <w:lvlJc w:val="left"/>
      <w:lvlText w:val="%2"/>
      <w:numFmt w:val="decimal"/>
      <w:start w:val="1"/>
    </w:lvl>
    <w:lvl w:ilvl="2">
      <w:lvlJc w:val="left"/>
      <w:lvlText w:val="(%3)"/>
      <w:numFmt w:val="lowerLetter"/>
      <w:start w:val="7"/>
    </w:lvl>
  </w:abstractNum>
  <w:abstractNum w:abstractNumId="62">
    <w:nsid w:val="42963E5A"/>
    <w:multiLevelType w:val="hybridMultilevel"/>
    <w:lvl w:ilvl="0">
      <w:lvlJc w:val="left"/>
      <w:lvlText w:val="%1"/>
      <w:numFmt w:val="decimal"/>
      <w:start w:val="1"/>
    </w:lvl>
    <w:lvl w:ilvl="1">
      <w:lvlJc w:val="left"/>
      <w:lvlText w:val="%2."/>
      <w:numFmt w:val="decimal"/>
      <w:start w:val="8"/>
    </w:lvl>
    <w:lvl w:ilvl="2">
      <w:lvlJc w:val="left"/>
      <w:lvlText w:val="(%3)"/>
      <w:numFmt w:val="lowerLetter"/>
      <w:start w:val="1"/>
    </w:lvl>
  </w:abstractNum>
  <w:abstractNum w:abstractNumId="63">
    <w:nsid w:val="A0382C5"/>
    <w:multiLevelType w:val="hybridMultilevel"/>
    <w:lvl w:ilvl="0">
      <w:lvlJc w:val="left"/>
      <w:lvlText w:val="(%1)"/>
      <w:numFmt w:val="decimal"/>
      <w:start w:val="90"/>
    </w:lvl>
    <w:lvl w:ilvl="1">
      <w:lvlJc w:val="left"/>
      <w:lvlText w:val="%2"/>
      <w:numFmt w:val="decimal"/>
      <w:start w:val="1"/>
    </w:lvl>
    <w:lvl w:ilvl="2">
      <w:lvlJc w:val="left"/>
      <w:lvlText w:val="%3"/>
      <w:numFmt w:val="lowerLetter"/>
      <w:start w:val="1"/>
    </w:lvl>
  </w:abstractNum>
  <w:abstractNum w:abstractNumId="64">
    <w:nsid w:val="8F2B15E"/>
    <w:multiLevelType w:val="hybridMultilevel"/>
    <w:lvl w:ilvl="0">
      <w:lvlJc w:val="left"/>
      <w:lvlText w:val="%1"/>
      <w:numFmt w:val="decimal"/>
      <w:start w:val="1"/>
    </w:lvl>
    <w:lvl w:ilvl="1">
      <w:lvlJc w:val="left"/>
      <w:lvlText w:val="(%2)"/>
      <w:numFmt w:val="lowerLetter"/>
      <w:start w:val="2"/>
    </w:lvl>
  </w:abstractNum>
  <w:abstractNum w:abstractNumId="65">
    <w:nsid w:val="1A32234B"/>
    <w:multiLevelType w:val="hybridMultilevel"/>
    <w:lvl w:ilvl="0">
      <w:lvlJc w:val="left"/>
      <w:lvlText w:val="%1."/>
      <w:numFmt w:val="decimal"/>
      <w:start w:val="9"/>
    </w:lvl>
    <w:lvl w:ilvl="1">
      <w:lvlJc w:val="left"/>
      <w:lvlText w:val="%2"/>
      <w:numFmt w:val="lowerLetter"/>
      <w:start w:val="1"/>
    </w:lvl>
  </w:abstractNum>
  <w:abstractNum w:abstractNumId="66">
    <w:nsid w:val="3B0FD379"/>
    <w:multiLevelType w:val="hybridMultilevel"/>
    <w:lvl w:ilvl="0">
      <w:lvlJc w:val="left"/>
      <w:lvlText w:val="%1"/>
      <w:numFmt w:val="decimal"/>
      <w:start w:val="1"/>
    </w:lvl>
    <w:lvl w:ilvl="1">
      <w:lvlJc w:val="left"/>
      <w:lvlText w:val="(%2)"/>
      <w:numFmt w:val="lowerLetter"/>
      <w:start w:val="1"/>
    </w:lvl>
  </w:abstractNum>
  <w:abstractNum w:abstractNumId="67">
    <w:nsid w:val="68EB2F63"/>
    <w:multiLevelType w:val="hybridMultilevel"/>
    <w:lvl w:ilvl="0">
      <w:lvlJc w:val="left"/>
      <w:lvlText w:val="%1."/>
      <w:numFmt w:val="decimal"/>
      <w:start w:val="10"/>
    </w:lvl>
    <w:lvl w:ilvl="1">
      <w:lvlJc w:val="left"/>
      <w:lvlText w:val="(%2)"/>
      <w:numFmt w:val="lowerLetter"/>
      <w:start w:val="1"/>
    </w:lvl>
  </w:abstractNum>
  <w:abstractNum w:abstractNumId="68">
    <w:nsid w:val="4962813B"/>
    <w:multiLevelType w:val="hybridMultilevel"/>
    <w:lvl w:ilvl="0">
      <w:lvlJc w:val="left"/>
      <w:lvlText w:val="%1"/>
      <w:numFmt w:val="decimal"/>
      <w:start w:val="1"/>
    </w:lvl>
    <w:lvl w:ilvl="1">
      <w:lvlJc w:val="left"/>
      <w:lvlText w:val="(%2)"/>
      <w:numFmt w:val="lowerLetter"/>
      <w:start w:val="2"/>
    </w:lvl>
  </w:abstractNum>
  <w:abstractNum w:abstractNumId="69">
    <w:nsid w:val="60B6DF70"/>
    <w:multiLevelType w:val="hybridMultilevel"/>
    <w:lvl w:ilvl="0">
      <w:lvlJc w:val="left"/>
      <w:lvlText w:val="%1."/>
      <w:numFmt w:val="decimal"/>
      <w:start w:val="11"/>
    </w:lvl>
    <w:lvl w:ilvl="1">
      <w:lvlJc w:val="left"/>
      <w:lvlText w:val="(%2)"/>
      <w:numFmt w:val="lowerLetter"/>
      <w:start w:val="1"/>
    </w:lvl>
  </w:abstractNum>
  <w:abstractNum w:abstractNumId="70">
    <w:nsid w:val="6A5EE6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1">
    <w:nsid w:val="14330624"/>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72">
    <w:nsid w:val="7FFFCA11"/>
    <w:multiLevelType w:val="hybridMultilevel"/>
    <w:lvl w:ilvl="0">
      <w:lvlJc w:val="left"/>
      <w:lvlText w:val="(%1)"/>
      <w:numFmt w:val="lowerRoman"/>
      <w:start w:val="3"/>
    </w:lvl>
    <w:lvl w:ilvl="1">
      <w:lvlJc w:val="left"/>
      <w:lvlText w:val="(%2)"/>
      <w:numFmt w:val="decimal"/>
      <w:start w:val="1"/>
    </w:lvl>
  </w:abstractNum>
  <w:abstractNum w:abstractNumId="73">
    <w:nsid w:val="1A27709E"/>
    <w:multiLevelType w:val="hybridMultilevel"/>
    <w:lvl w:ilvl="0">
      <w:lvlJc w:val="left"/>
      <w:lvlText w:val="%1"/>
      <w:numFmt w:val="lowerLetter"/>
      <w:start w:val="1"/>
    </w:lvl>
    <w:lvl w:ilvl="1">
      <w:lvlJc w:val="left"/>
      <w:lvlText w:val="(%2)"/>
      <w:numFmt w:val="lowerLetter"/>
      <w:start w:val="22"/>
    </w:lvl>
  </w:abstractNum>
  <w:abstractNum w:abstractNumId="74">
    <w:nsid w:val="71EA1109"/>
    <w:multiLevelType w:val="hybridMultilevel"/>
    <w:lvl w:ilvl="0">
      <w:lvlJc w:val="left"/>
      <w:lvlText w:val="(%1)"/>
      <w:numFmt w:val="lowerLetter"/>
      <w:start w:val="4"/>
    </w:lvl>
    <w:lvl w:ilvl="1">
      <w:lvlJc w:val="left"/>
      <w:lvlText w:val="%2"/>
      <w:numFmt w:val="lowerLetter"/>
      <w:start w:val="1"/>
    </w:lvl>
  </w:abstractNum>
  <w:abstractNum w:abstractNumId="75">
    <w:nsid w:val="100F59DC"/>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9"/>
    </w:lvl>
  </w:abstractNum>
  <w:abstractNum w:abstractNumId="76">
    <w:nsid w:val="7FB7E0AA"/>
    <w:multiLevelType w:val="hybridMultilevel"/>
    <w:lvl w:ilvl="0">
      <w:lvlJc w:val="left"/>
      <w:lvlText w:val="(%1)"/>
      <w:numFmt w:val="lowerRoman"/>
      <w:start w:val="4"/>
    </w:lvl>
    <w:lvl w:ilvl="1">
      <w:lvlJc w:val="left"/>
      <w:lvlText w:val="%2."/>
      <w:numFmt w:val="decimal"/>
      <w:start w:val="14"/>
    </w:lvl>
    <w:lvl w:ilvl="2">
      <w:lvlJc w:val="left"/>
      <w:lvlText w:val="(%3)"/>
      <w:numFmt w:val="lowerLetter"/>
      <w:start w:val="11"/>
    </w:lvl>
  </w:abstractNum>
  <w:abstractNum w:abstractNumId="77">
    <w:nsid w:val="6EB5BD4"/>
    <w:multiLevelType w:val="hybridMultilevel"/>
    <w:lvl w:ilvl="0">
      <w:lvlJc w:val="left"/>
      <w:lvlText w:val="%1."/>
      <w:numFmt w:val="decimal"/>
      <w:start w:val="18"/>
    </w:lvl>
  </w:abstractNum>
  <w:abstractNum w:abstractNumId="78">
    <w:nsid w:val="6F6DD9AC"/>
    <w:multiLevelType w:val="hybridMultilevel"/>
    <w:lvl w:ilvl="0">
      <w:lvlJc w:val="left"/>
      <w:lvlText w:val="%1."/>
      <w:numFmt w:val="decimal"/>
      <w:start w:val="20"/>
    </w:lvl>
  </w:abstractNum>
  <w:abstractNum w:abstractNumId="79">
    <w:nsid w:val="94211F2"/>
    <w:multiLevelType w:val="hybridMultilevel"/>
    <w:lvl w:ilvl="0">
      <w:lvlJc w:val="left"/>
      <w:lvlText w:val="%1."/>
      <w:numFmt w:val="decimal"/>
      <w:start w:val="1"/>
    </w:lvl>
    <w:lvl w:ilvl="1">
      <w:lvlJc w:val="left"/>
      <w:lvlText w:val="(%2)"/>
      <w:numFmt w:val="lowerLetter"/>
      <w:start w:val="1"/>
    </w:lvl>
  </w:abstractNum>
  <w:abstractNum w:abstractNumId="80">
    <w:nsid w:val="885E1B"/>
    <w:multiLevelType w:val="hybridMultilevel"/>
    <w:lvl w:ilvl="0">
      <w:lvlJc w:val="left"/>
      <w:lvlText w:val="%1."/>
      <w:numFmt w:val="decimal"/>
      <w:start w:val="1"/>
    </w:lvl>
    <w:lvl w:ilvl="1">
      <w:lvlJc w:val="left"/>
      <w:lvlText w:val="(%2)"/>
      <w:numFmt w:val="lowerLetter"/>
      <w:start w:val="1"/>
    </w:lvl>
  </w:abstractNum>
  <w:abstractNum w:abstractNumId="81">
    <w:nsid w:val="76272110"/>
    <w:multiLevelType w:val="hybridMultilevel"/>
    <w:lvl w:ilvl="0">
      <w:lvlJc w:val="left"/>
      <w:lvlText w:val="%1."/>
      <w:numFmt w:val="decimal"/>
      <w:start w:val="1"/>
    </w:lvl>
  </w:abstractNum>
  <w:abstractNum w:abstractNumId="82">
    <w:nsid w:val="4C04A8AF"/>
    <w:multiLevelType w:val="hybridMultilevel"/>
    <w:lvl w:ilvl="0">
      <w:lvlJc w:val="left"/>
      <w:lvlText w:val="%1."/>
      <w:numFmt w:val="decimal"/>
      <w:start w:val="1"/>
    </w:lvl>
  </w:abstractNum>
  <w:abstractNum w:abstractNumId="83">
    <w:nsid w:val="1716703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84">
    <w:nsid w:val="14E17E33"/>
    <w:multiLevelType w:val="hybridMultilevel"/>
    <w:lvl w:ilvl="0">
      <w:lvlJc w:val="left"/>
      <w:lvlText w:val="(%1)"/>
      <w:numFmt w:val="lowerLetter"/>
      <w:start w:val="3"/>
    </w:lvl>
    <w:lvl w:ilvl="1">
      <w:lvlJc w:val="left"/>
      <w:lvlText w:val="(%2)"/>
      <w:numFmt w:val="lowerRoman"/>
      <w:start w:val="1"/>
    </w:lvl>
  </w:abstractNum>
  <w:abstractNum w:abstractNumId="85">
    <w:nsid w:val="3222E7CD"/>
    <w:multiLevelType w:val="hybridMultilevel"/>
    <w:lvl w:ilvl="0">
      <w:lvlJc w:val="left"/>
      <w:lvlText w:val="%1"/>
      <w:numFmt w:val="decimal"/>
      <w:start w:val="1"/>
    </w:lvl>
    <w:lvl w:ilvl="1">
      <w:lvlJc w:val="left"/>
      <w:lvlText w:val="(%2)"/>
      <w:numFmt w:val="lowerLetter"/>
      <w:start w:val="5"/>
    </w:lvl>
  </w:abstractNum>
  <w:abstractNum w:abstractNumId="86">
    <w:nsid w:val="74DE0EE3"/>
    <w:multiLevelType w:val="hybridMultilevel"/>
    <w:lvl w:ilvl="0">
      <w:lvlJc w:val="left"/>
      <w:lvlText w:val="%1."/>
      <w:numFmt w:val="decimal"/>
      <w:start w:val="8"/>
    </w:lvl>
    <w:lvl w:ilvl="1">
      <w:lvlJc w:val="left"/>
      <w:lvlText w:val="(%2)"/>
      <w:numFmt w:val="lowerLetter"/>
      <w:start w:val="1"/>
    </w:lvl>
  </w:abstractNum>
  <w:abstractNum w:abstractNumId="87">
    <w:nsid w:val="68EBC550"/>
    <w:multiLevelType w:val="hybridMultilevel"/>
    <w:lvl w:ilvl="0">
      <w:lvlJc w:val="left"/>
      <w:lvlText w:val="%1"/>
      <w:numFmt w:val="decimal"/>
      <w:start w:val="1"/>
    </w:lvl>
    <w:lvl w:ilvl="1">
      <w:lvlJc w:val="left"/>
      <w:lvlText w:val="(%2)"/>
      <w:numFmt w:val="lowerLetter"/>
      <w:start w:val="2"/>
    </w:lvl>
  </w:abstractNum>
  <w:abstractNum w:abstractNumId="88">
    <w:nsid w:val="2DF6D648"/>
    <w:multiLevelType w:val="hybridMultilevel"/>
    <w:lvl w:ilvl="0">
      <w:lvlJc w:val="left"/>
      <w:lvlText w:val="%1."/>
      <w:numFmt w:val="decimal"/>
      <w:start w:val="9"/>
    </w:lvl>
    <w:lvl w:ilvl="1">
      <w:lvlJc w:val="left"/>
      <w:lvlText w:val="%2"/>
      <w:numFmt w:val="lowerLetter"/>
      <w:start w:val="1"/>
    </w:lvl>
  </w:abstractNum>
  <w:abstractNum w:abstractNumId="89">
    <w:nsid w:val="46B7D447"/>
    <w:multiLevelType w:val="hybridMultilevel"/>
    <w:lvl w:ilvl="0">
      <w:lvlJc w:val="left"/>
      <w:lvlText w:val="%1."/>
      <w:numFmt w:val="decimal"/>
      <w:start w:val="15"/>
    </w:lvl>
  </w:abstractNum>
  <w:abstractNum w:abstractNumId="90">
    <w:nsid w:val="4A2AC315"/>
    <w:multiLevelType w:val="hybridMultilevel"/>
    <w:lvl w:ilvl="0">
      <w:lvlJc w:val="left"/>
      <w:lvlText w:val="(%1)"/>
      <w:numFmt w:val="lowerLetter"/>
      <w:start w:val="1"/>
    </w:lvl>
  </w:abstractNum>
  <w:abstractNum w:abstractNumId="91">
    <w:nsid w:val="39EE015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90" Type="http://schemas.openxmlformats.org/officeDocument/2006/relationships/image" Target="media/image68.png"/><Relationship Id="rId91" Type="http://schemas.openxmlformats.org/officeDocument/2006/relationships/image" Target="media/image69.png"/><Relationship Id="rId92" Type="http://schemas.openxmlformats.org/officeDocument/2006/relationships/image" Target="media/image70.png"/><Relationship Id="rId93" Type="http://schemas.openxmlformats.org/officeDocument/2006/relationships/image" Target="media/image71.png"/><Relationship Id="rId94" Type="http://schemas.openxmlformats.org/officeDocument/2006/relationships/image" Target="media/image72.png"/><Relationship Id="rId95" Type="http://schemas.openxmlformats.org/officeDocument/2006/relationships/image" Target="media/image73.png"/><Relationship Id="rId96" Type="http://schemas.openxmlformats.org/officeDocument/2006/relationships/image" Target="media/image74.png"/><Relationship Id="rId97" Type="http://schemas.openxmlformats.org/officeDocument/2006/relationships/image" Target="media/image75.png"/><Relationship Id="rId98" Type="http://schemas.openxmlformats.org/officeDocument/2006/relationships/image" Target="media/image76.png"/><Relationship Id="rId99" Type="http://schemas.openxmlformats.org/officeDocument/2006/relationships/image" Target="media/image77.png"/><Relationship Id="rId100" Type="http://schemas.openxmlformats.org/officeDocument/2006/relationships/image" Target="media/image78.png"/><Relationship Id="rId101" Type="http://schemas.openxmlformats.org/officeDocument/2006/relationships/image" Target="media/image79.png"/><Relationship Id="rId102" Type="http://schemas.openxmlformats.org/officeDocument/2006/relationships/image" Target="media/image80.png"/><Relationship Id="rId103" Type="http://schemas.openxmlformats.org/officeDocument/2006/relationships/image" Target="media/image81.png"/><Relationship Id="rId104" Type="http://schemas.openxmlformats.org/officeDocument/2006/relationships/image" Target="media/image82.png"/><Relationship Id="rId105" Type="http://schemas.openxmlformats.org/officeDocument/2006/relationships/image" Target="media/image83.png"/><Relationship Id="rId106" Type="http://schemas.openxmlformats.org/officeDocument/2006/relationships/image" Target="media/image84.png"/><Relationship Id="rId107" Type="http://schemas.openxmlformats.org/officeDocument/2006/relationships/image" Target="media/image85.png"/><Relationship Id="rId108" Type="http://schemas.openxmlformats.org/officeDocument/2006/relationships/image" Target="media/image86.png"/><Relationship Id="rId109" Type="http://schemas.openxmlformats.org/officeDocument/2006/relationships/image" Target="media/image87.png"/><Relationship Id="rId110" Type="http://schemas.openxmlformats.org/officeDocument/2006/relationships/image" Target="media/image88.png"/><Relationship Id="rId111" Type="http://schemas.openxmlformats.org/officeDocument/2006/relationships/image" Target="media/image89.png"/><Relationship Id="rId112" Type="http://schemas.openxmlformats.org/officeDocument/2006/relationships/image" Target="media/image90.png"/><Relationship Id="rId113" Type="http://schemas.openxmlformats.org/officeDocument/2006/relationships/image" Target="media/image91.png"/><Relationship Id="rId114" Type="http://schemas.openxmlformats.org/officeDocument/2006/relationships/image" Target="media/image92.png"/><Relationship Id="rId115" Type="http://schemas.openxmlformats.org/officeDocument/2006/relationships/image" Target="media/image93.png"/><Relationship Id="rId116" Type="http://schemas.openxmlformats.org/officeDocument/2006/relationships/image" Target="media/image94.png"/><Relationship Id="rId117" Type="http://schemas.openxmlformats.org/officeDocument/2006/relationships/image" Target="media/image95.png"/><Relationship Id="rId118" Type="http://schemas.openxmlformats.org/officeDocument/2006/relationships/image" Target="media/image96.png"/><Relationship Id="rId119" Type="http://schemas.openxmlformats.org/officeDocument/2006/relationships/image" Target="media/image97.png"/><Relationship Id="rId120" Type="http://schemas.openxmlformats.org/officeDocument/2006/relationships/image" Target="media/image98.png"/><Relationship Id="rId121" Type="http://schemas.openxmlformats.org/officeDocument/2006/relationships/image" Target="media/image99.png"/><Relationship Id="rId122" Type="http://schemas.openxmlformats.org/officeDocument/2006/relationships/image" Target="media/image100.png"/><Relationship Id="rId123" Type="http://schemas.openxmlformats.org/officeDocument/2006/relationships/image" Target="media/image101.png"/><Relationship Id="rId124" Type="http://schemas.openxmlformats.org/officeDocument/2006/relationships/image" Target="media/image102.png"/><Relationship Id="rId125" Type="http://schemas.openxmlformats.org/officeDocument/2006/relationships/image" Target="media/image103.png"/><Relationship Id="rId126" Type="http://schemas.openxmlformats.org/officeDocument/2006/relationships/image" Target="media/image104.png"/><Relationship Id="rId127" Type="http://schemas.openxmlformats.org/officeDocument/2006/relationships/image" Target="media/image105.png"/><Relationship Id="rId128" Type="http://schemas.openxmlformats.org/officeDocument/2006/relationships/image" Target="media/image106.png"/><Relationship Id="rId129" Type="http://schemas.openxmlformats.org/officeDocument/2006/relationships/image" Target="media/image107.png"/><Relationship Id="rId130" Type="http://schemas.openxmlformats.org/officeDocument/2006/relationships/image" Target="media/image108.png"/><Relationship Id="rId131" Type="http://schemas.openxmlformats.org/officeDocument/2006/relationships/image" Target="media/image109.png"/><Relationship Id="rId132" Type="http://schemas.openxmlformats.org/officeDocument/2006/relationships/image" Target="media/image110.png"/><Relationship Id="rId133" Type="http://schemas.openxmlformats.org/officeDocument/2006/relationships/image" Target="media/image111.png"/><Relationship Id="rId134" Type="http://schemas.openxmlformats.org/officeDocument/2006/relationships/image" Target="media/image112.png"/><Relationship Id="rId135" Type="http://schemas.openxmlformats.org/officeDocument/2006/relationships/image" Target="media/image113.png"/><Relationship Id="rId136" Type="http://schemas.openxmlformats.org/officeDocument/2006/relationships/image" Target="media/image114.png"/><Relationship Id="rId137" Type="http://schemas.openxmlformats.org/officeDocument/2006/relationships/image" Target="media/image115.png"/><Relationship Id="rId138" Type="http://schemas.openxmlformats.org/officeDocument/2006/relationships/image" Target="media/image116.png"/><Relationship Id="rId139" Type="http://schemas.openxmlformats.org/officeDocument/2006/relationships/image" Target="media/image117.png"/><Relationship Id="rId140" Type="http://schemas.openxmlformats.org/officeDocument/2006/relationships/image" Target="media/image118.png"/><Relationship Id="rId141" Type="http://schemas.openxmlformats.org/officeDocument/2006/relationships/image" Target="media/image119.png"/><Relationship Id="rId142" Type="http://schemas.openxmlformats.org/officeDocument/2006/relationships/image" Target="media/image120.png"/><Relationship Id="rId143" Type="http://schemas.openxmlformats.org/officeDocument/2006/relationships/image" Target="media/image121.png"/><Relationship Id="rId144" Type="http://schemas.openxmlformats.org/officeDocument/2006/relationships/image" Target="media/image122.png"/><Relationship Id="rId145" Type="http://schemas.openxmlformats.org/officeDocument/2006/relationships/image" Target="media/image123.png"/><Relationship Id="rId146" Type="http://schemas.openxmlformats.org/officeDocument/2006/relationships/image" Target="media/image124.png"/><Relationship Id="rId147" Type="http://schemas.openxmlformats.org/officeDocument/2006/relationships/image" Target="media/image125.png"/><Relationship Id="rId148" Type="http://schemas.openxmlformats.org/officeDocument/2006/relationships/image" Target="media/image126.png"/><Relationship Id="rId149" Type="http://schemas.openxmlformats.org/officeDocument/2006/relationships/image" Target="media/image127.png"/><Relationship Id="rId150" Type="http://schemas.openxmlformats.org/officeDocument/2006/relationships/image" Target="media/image128.png"/><Relationship Id="rId151" Type="http://schemas.openxmlformats.org/officeDocument/2006/relationships/image" Target="media/image129.png"/><Relationship Id="rId152" Type="http://schemas.openxmlformats.org/officeDocument/2006/relationships/image" Target="media/image130.png"/><Relationship Id="rId153" Type="http://schemas.openxmlformats.org/officeDocument/2006/relationships/image" Target="media/image131.png"/><Relationship Id="rId154" Type="http://schemas.openxmlformats.org/officeDocument/2006/relationships/image" Target="media/image132.png"/><Relationship Id="rId155" Type="http://schemas.openxmlformats.org/officeDocument/2006/relationships/image" Target="media/image133.png"/><Relationship Id="rId156" Type="http://schemas.openxmlformats.org/officeDocument/2006/relationships/image" Target="media/image134.png"/><Relationship Id="rId72" Type="http://schemas.openxmlformats.org/officeDocument/2006/relationships/hyperlink" Target="https://www.sec.gov/Archives/edgar/data/1007587/000100758722000012/kvhi8-kex21.htm" TargetMode="External"/><Relationship Id="rId73" Type="http://schemas.openxmlformats.org/officeDocument/2006/relationships/hyperlink" Target="http://www.sec.gov/Archives/edgar/data/1007587/000119312510179682/dex31.htm" TargetMode="External"/><Relationship Id="rId74" Type="http://schemas.openxmlformats.org/officeDocument/2006/relationships/hyperlink" Target="https://www.sec.gov/Archives/edgar/data/1007587/000110465922092774/tm2223782d1_ex3-1.htm" TargetMode="External"/><Relationship Id="rId75" Type="http://schemas.openxmlformats.org/officeDocument/2006/relationships/hyperlink" Target="http://www.sec.gov/Archives/edgar/data/1007587/000100758717000038/kvhi1101201710qex32.htm" TargetMode="External"/><Relationship Id="rId76" Type="http://schemas.openxmlformats.org/officeDocument/2006/relationships/hyperlink" Target="http://www.sec.gov/Archives/edgar/data/1007587/000100758718000006/kvhi12312017ex41.htm" TargetMode="External"/><Relationship Id="rId77" Type="http://schemas.openxmlformats.org/officeDocument/2006/relationships/hyperlink" Target="http://www.sec.gov/Archives/edgar/data/1007587/000104746916012519/a2228345zdef14a.htm" TargetMode="External"/><Relationship Id="rId78" Type="http://schemas.openxmlformats.org/officeDocument/2006/relationships/hyperlink" Target="https://www.sec.gov/Archives/edgar/data/1007587/000110465922054613/tm2213248-1_def14a.htm" TargetMode="External"/><Relationship Id="rId79" Type="http://schemas.openxmlformats.org/officeDocument/2006/relationships/hyperlink" Target="http://www.sec.gov/Archives/edgar/data/1007587/000100758717000006/kvhi12312016ex105.htm" TargetMode="External"/><Relationship Id="rId80" Type="http://schemas.openxmlformats.org/officeDocument/2006/relationships/hyperlink" Target="http://www.sec.gov/Archives/edgar/data/1007587/000100758717000006/kvhi12312016ex106.htm" TargetMode="External"/><Relationship Id="rId81" Type="http://schemas.openxmlformats.org/officeDocument/2006/relationships/hyperlink" Target="http://www.sec.gov/Archives/edgar/data/1007587/000100758717000006/kvhi12312016ex107.htm" TargetMode="External"/><Relationship Id="rId85" Type="http://schemas.openxmlformats.org/officeDocument/2006/relationships/hyperlink" Target="https://www.sec.gov/Archives/edgar/data/1007587/000100758722000011/kvhi630202210qex101.htm" TargetMode="External"/><Relationship Id="rId86" Type="http://schemas.openxmlformats.org/officeDocument/2006/relationships/hyperlink" Target="https://www.sec.gov/Archives/edgar/data/1007587/000100758722000019/kvhi930202210qex108.htm" TargetMode="External"/><Relationship Id="rId87" Type="http://schemas.openxmlformats.org/officeDocument/2006/relationships/hyperlink" Target="https://www.sec.gov/Archives/edgar/data/1007587/000100758722000011/kvhi630202210qex102.htm" TargetMode="External"/><Relationship Id="rId88" Type="http://schemas.openxmlformats.org/officeDocument/2006/relationships/hyperlink" Target="https://www.sec.gov/Archives/edgar/data/1007587/000100758722000011/kvhi630202210qex103.htm" TargetMode="External"/><Relationship Id="rId89" Type="http://schemas.openxmlformats.org/officeDocument/2006/relationships/hyperlink" Target="https://www.sec.gov/Archives/edgar/data/1007587/000110465923010562/tm235460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2024-03-15T15:00:35Z</dcterms:created>
  <dcterms:modified xsi:type="dcterms:W3CDTF">2024-03-15T15:00:35Z</dcterms:modified>
</cp:coreProperties>
</file>