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62230</wp:posOffset>
            </wp:positionV>
            <wp:extent cx="2082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80" w:right="80" w:hanging="654"/>
        <w:spacing w:after="0" w:line="229"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 w:lineRule="exact"/>
        <w:rPr>
          <w:sz w:val="24"/>
          <w:szCs w:val="24"/>
          <w:color w:val="auto"/>
        </w:rPr>
      </w:pPr>
    </w:p>
    <w:p>
      <w:pPr>
        <w:ind w:left="680" w:right="60" w:hanging="654"/>
        <w:spacing w:after="0" w:line="229"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jc w:val="right"/>
        <w:ind w:right="4360"/>
        <w:spacing w:after="0"/>
        <w:tabs>
          <w:tab w:leader="none" w:pos="4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jc w:val="right"/>
        <w:ind w:right="4300"/>
        <w:spacing w:after="0"/>
        <w:rPr>
          <w:sz w:val="20"/>
          <w:szCs w:val="20"/>
          <w:color w:val="auto"/>
        </w:rPr>
      </w:pPr>
      <w:r>
        <w:rPr>
          <w:rFonts w:ascii="Times New Roman" w:cs="Times New Roman" w:eastAsia="Times New Roman" w:hAnsi="Times New Roman"/>
          <w:sz w:val="18"/>
          <w:szCs w:val="18"/>
          <w:b w:val="1"/>
          <w:bCs w:val="1"/>
          <w:color w:val="auto"/>
        </w:rPr>
        <w:t>Commission File Number 0-28082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47625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38735</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19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05-0420589</w:t>
      </w:r>
    </w:p>
    <w:p>
      <w:pPr>
        <w:spacing w:after="0" w:line="42" w:lineRule="exact"/>
        <w:rPr>
          <w:sz w:val="24"/>
          <w:szCs w:val="24"/>
          <w:color w:val="auto"/>
        </w:rPr>
      </w:pPr>
    </w:p>
    <w:p>
      <w:pPr>
        <w:sectPr>
          <w:pgSz w:w="11900" w:h="16838" w:orient="portrait"/>
          <w:cols w:equalWidth="0" w:num="2">
            <w:col w:w="7340" w:space="720"/>
            <w:col w:w="3180"/>
          </w:cols>
          <w:pgMar w:left="320" w:top="995"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p>
      <w:pPr>
        <w:spacing w:after="0" w:line="123" w:lineRule="exact"/>
        <w:rPr>
          <w:sz w:val="24"/>
          <w:szCs w:val="24"/>
          <w:color w:val="auto"/>
        </w:rPr>
      </w:pPr>
    </w:p>
    <w:p>
      <w:pPr>
        <w:sectPr>
          <w:pgSz w:w="11900" w:h="16838" w:orient="portrait"/>
          <w:cols w:equalWidth="0" w:num="2">
            <w:col w:w="6520" w:space="720"/>
            <w:col w:w="4000"/>
          </w:cols>
          <w:pgMar w:left="320" w:top="99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50 Enterprise Center, Middletown, RI 02842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(401) 847-3327</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67310</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4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2" w:lineRule="exact"/>
        <w:rPr>
          <w:sz w:val="24"/>
          <w:szCs w:val="24"/>
          <w:color w:val="auto"/>
        </w:rPr>
      </w:pPr>
    </w:p>
    <w:p>
      <w:pPr>
        <w:sectPr>
          <w:pgSz w:w="11900" w:h="16838" w:orient="portrait"/>
          <w:cols w:equalWidth="0" w:num="3">
            <w:col w:w="4500" w:space="720"/>
            <w:col w:w="1880" w:space="720"/>
            <w:col w:w="3420"/>
          </w:cols>
          <w:pgMar w:left="320" w:top="995" w:right="339" w:bottom="1440" w:gutter="0" w:footer="0" w:header="0"/>
          <w:type w:val="continuous"/>
        </w:sectPr>
      </w:pPr>
    </w:p>
    <w:p>
      <w:pPr>
        <w:ind w:left="8300"/>
        <w:spacing w:after="0"/>
        <w:rPr>
          <w:sz w:val="20"/>
          <w:szCs w:val="20"/>
          <w:color w:val="auto"/>
        </w:rPr>
      </w:pPr>
      <w:r>
        <w:rPr>
          <w:rFonts w:ascii="Times New Roman" w:cs="Times New Roman" w:eastAsia="Times New Roman" w:hAnsi="Times New Roman"/>
          <w:sz w:val="14"/>
          <w:szCs w:val="14"/>
          <w:color w:val="auto"/>
        </w:rPr>
        <w:t>The Nasdaq Stock Market LLC</w:t>
      </w:r>
    </w:p>
    <w:p>
      <w:pPr>
        <w:sectPr>
          <w:pgSz w:w="11900" w:h="16838" w:orient="portrait"/>
          <w:cols w:equalWidth="0" w:num="1">
            <w:col w:w="11240"/>
          </w:cols>
          <w:pgMar w:left="320" w:top="995" w:right="339" w:bottom="1440" w:gutter="0" w:footer="0" w:header="0"/>
          <w:type w:val="continuous"/>
        </w:sectPr>
      </w:pPr>
    </w:p>
    <w:p>
      <w:pPr>
        <w:spacing w:after="0" w:line="8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4"/>
          <w:szCs w:val="14"/>
          <w:color w:val="auto"/>
        </w:rPr>
        <w:t>KVHI</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880" w:space="720"/>
            <w:col w:w="2000" w:space="720"/>
            <w:col w:w="2920"/>
          </w:cols>
          <w:pgMar w:left="320" w:top="995" w:right="339"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requirements for the past 90 days.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bl>
      <w:tblPr>
        <w:tblLayout w:type="fixed"/>
        <w:tblInd w:w="20" w:type="dxa"/>
        <w:tblCellMar>
          <w:top w:w="0" w:type="dxa"/>
          <w:left w:w="0" w:type="dxa"/>
          <w:bottom w:w="0" w:type="dxa"/>
          <w:right w:w="0" w:type="dxa"/>
        </w:tblCellMar>
      </w:tblPr>
      <w:tr>
        <w:trPr>
          <w:trHeight w:val="191"/>
        </w:trPr>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line="191" w:lineRule="exact"/>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80" w:type="dxa"/>
            <w:vAlign w:val="bottom"/>
          </w:tcPr>
          <w:p>
            <w:pPr>
              <w:spacing w:after="0"/>
              <w:rPr>
                <w:sz w:val="13"/>
                <w:szCs w:val="13"/>
                <w:color w:val="auto"/>
              </w:rPr>
            </w:pPr>
          </w:p>
        </w:tc>
        <w:tc>
          <w:tcPr>
            <w:tcW w:w="3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 shares</w:t>
            </w:r>
          </w:p>
        </w:tc>
      </w:tr>
      <w:tr>
        <w:trPr>
          <w:trHeight w:val="20"/>
        </w:trPr>
        <w:tc>
          <w:tcPr>
            <w:tcW w:w="1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31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May 1, 2024</w:t>
            </w:r>
          </w:p>
        </w:tc>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19,716,221</w:t>
            </w:r>
          </w:p>
        </w:tc>
        <w:tc>
          <w:tcPr>
            <w:tcW w:w="1080" w:type="dxa"/>
            <w:vAlign w:val="bottom"/>
          </w:tcPr>
          <w:p>
            <w:pPr>
              <w:spacing w:after="0"/>
              <w:rPr>
                <w:sz w:val="22"/>
                <w:szCs w:val="22"/>
                <w:color w:val="auto"/>
              </w:rPr>
            </w:pPr>
          </w:p>
        </w:tc>
      </w:tr>
      <w:tr>
        <w:trPr>
          <w:trHeight w:val="1033"/>
        </w:trPr>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0" w:type="dxa"/>
            <w:vAlign w:val="bottom"/>
            <w:gridSpan w:val="11"/>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KVH INDUSTRIES, INC. AND SUBSIDIARIES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8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8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Page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gridSpan w:val="19"/>
            <w:vMerge w:val="continue"/>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INTERIM FINANCIAL STATEMENTS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2024 (unaudited) and December 31, 2023</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months ended March 31, 2024 and 2023 (unaudited)</w:t>
            </w:r>
          </w:p>
        </w:tc>
        <w:tc>
          <w:tcPr>
            <w:tcW w:w="1640" w:type="dxa"/>
            <w:vAlign w:val="bottom"/>
            <w:gridSpan w:val="5"/>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w:t>
            </w:r>
            <w:r>
              <w:rPr>
                <w:rFonts w:ascii="Times New Roman" w:cs="Times New Roman" w:eastAsia="Times New Roman" w:hAnsi="Times New Roman"/>
                <w:sz w:val="18"/>
                <w:szCs w:val="18"/>
                <w:color w:val="0E32E1"/>
              </w:rPr>
              <w:t>e (Loss) Income f</w:t>
            </w:r>
            <w:r>
              <w:rPr>
                <w:rFonts w:ascii="Times New Roman" w:cs="Times New Roman" w:eastAsia="Times New Roman" w:hAnsi="Times New Roman"/>
                <w:sz w:val="18"/>
                <w:szCs w:val="18"/>
                <w:color w:val="0000FF"/>
              </w:rPr>
              <w:t>or the three months ended March 31, 2024 and 2023</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(unaudited)</w:t>
            </w:r>
          </w:p>
        </w:tc>
        <w:tc>
          <w:tcPr>
            <w:tcW w:w="940" w:type="dxa"/>
            <w:vAlign w:val="bottom"/>
            <w:tcBorders>
              <w:top w:val="single" w:sz="8" w:color="0E32E1"/>
            </w:tcBorders>
          </w:tcPr>
          <w:p>
            <w:pPr>
              <w:spacing w:after="0"/>
              <w:rPr>
                <w:sz w:val="13"/>
                <w:szCs w:val="13"/>
                <w:color w:val="auto"/>
              </w:rPr>
            </w:pPr>
          </w:p>
        </w:tc>
        <w:tc>
          <w:tcPr>
            <w:tcW w:w="320" w:type="dxa"/>
            <w:vAlign w:val="bottom"/>
            <w:tcBorders>
              <w:top w:val="single" w:sz="8" w:color="0E32E1"/>
            </w:tcBorders>
          </w:tcPr>
          <w:p>
            <w:pPr>
              <w:spacing w:after="0"/>
              <w:rPr>
                <w:sz w:val="13"/>
                <w:szCs w:val="13"/>
                <w:color w:val="auto"/>
              </w:rPr>
            </w:pPr>
          </w:p>
        </w:tc>
        <w:tc>
          <w:tcPr>
            <w:tcW w:w="3280" w:type="dxa"/>
            <w:vAlign w:val="bottom"/>
            <w:tcBorders>
              <w:top w:val="single" w:sz="8" w:color="0000FF"/>
            </w:tcBorders>
            <w:gridSpan w:val="3"/>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2024 and 2023 (unaudited)</w:t>
            </w: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three months ended March 31, 2024 and 2023 (unaudited)</w:t>
            </w:r>
          </w:p>
        </w:tc>
        <w:tc>
          <w:tcPr>
            <w:tcW w:w="64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580" w:type="dxa"/>
            <w:vAlign w:val="bottom"/>
            <w:gridSpan w:val="4"/>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144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600" w:type="dxa"/>
            <w:vAlign w:val="bottom"/>
            <w:gridSpan w:val="11"/>
          </w:tcPr>
          <w:p>
            <w:pPr>
              <w:spacing w:after="0"/>
              <w:rPr>
                <w:sz w:val="19"/>
                <w:szCs w:val="19"/>
                <w:color w:val="auto"/>
              </w:rPr>
            </w:pPr>
          </w:p>
        </w:tc>
        <w:tc>
          <w:tcPr>
            <w:tcW w:w="7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EXHIBITS</w:t>
            </w:r>
          </w:p>
        </w:tc>
        <w:tc>
          <w:tcPr>
            <w:tcW w:w="880" w:type="dxa"/>
            <w:vAlign w:val="bottom"/>
            <w:tcBorders>
              <w:top w:val="single" w:sz="8" w:color="0000FF"/>
            </w:tcBorders>
            <w:gridSpan w:val="2"/>
          </w:tcPr>
          <w:p>
            <w:pPr>
              <w:spacing w:after="0"/>
              <w:rPr>
                <w:sz w:val="18"/>
                <w:szCs w:val="18"/>
                <w:color w:val="auto"/>
              </w:rPr>
            </w:pPr>
          </w:p>
        </w:tc>
        <w:tc>
          <w:tcPr>
            <w:tcW w:w="7500" w:type="dxa"/>
            <w:vAlign w:val="bottom"/>
            <w:gridSpan w:val="13"/>
          </w:tcPr>
          <w:p>
            <w:pPr>
              <w:spacing w:after="0"/>
              <w:rPr>
                <w:sz w:val="18"/>
                <w:szCs w:val="18"/>
                <w:color w:val="auto"/>
              </w:rPr>
            </w:pPr>
          </w:p>
        </w:tc>
        <w:tc>
          <w:tcPr>
            <w:tcW w:w="7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300" w:type="dxa"/>
            <w:vAlign w:val="bottom"/>
            <w:gridSpan w:val="11"/>
          </w:tcPr>
          <w:p>
            <w:pPr>
              <w:jc w:val="center"/>
              <w:ind w:left="2690"/>
              <w:spacing w:after="0"/>
              <w:rPr>
                <w:sz w:val="20"/>
                <w:szCs w:val="20"/>
                <w:color w:val="auto"/>
              </w:rPr>
            </w:pPr>
            <w:r>
              <w:rPr>
                <w:rFonts w:ascii="Times New Roman" w:cs="Times New Roman" w:eastAsia="Times New Roman" w:hAnsi="Times New Roman"/>
                <w:sz w:val="18"/>
                <w:szCs w:val="18"/>
                <w:color w:val="auto"/>
                <w:w w:val="88"/>
              </w:rPr>
              <w:t>2</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w:t>
        <w:tab/>
        <w:t>Financial Statements</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11,294</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58,477</w:t>
            </w:r>
          </w:p>
        </w:tc>
        <w:tc>
          <w:tcPr>
            <w:tcW w:w="0" w:type="dxa"/>
            <w:vAlign w:val="bottom"/>
          </w:tcPr>
          <w:p>
            <w:pPr>
              <w:spacing w:after="0"/>
              <w:rPr>
                <w:sz w:val="1"/>
                <w:szCs w:val="1"/>
                <w:color w:val="auto"/>
              </w:rPr>
            </w:pPr>
          </w:p>
        </w:tc>
      </w:tr>
      <w:tr>
        <w:trPr>
          <w:trHeight w:val="146"/>
        </w:trPr>
        <w:tc>
          <w:tcPr>
            <w:tcW w:w="806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$1,138 and $1,168 as of March 31, 2024 and December 31, 2023,</w:t>
            </w:r>
          </w:p>
        </w:tc>
        <w:tc>
          <w:tcPr>
            <w:tcW w:w="18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25,670</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9"/>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118,818</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47,680</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03"/>
        </w:trPr>
        <w:tc>
          <w:tcPr>
            <w:tcW w:w="806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168,362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airtime</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other</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24,972</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23,295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25,262</w:t>
            </w:r>
          </w:p>
        </w:tc>
        <w:tc>
          <w:tcPr>
            <w:tcW w:w="0" w:type="dxa"/>
            <w:vAlign w:val="bottom"/>
          </w:tcPr>
          <w:p>
            <w:pPr>
              <w:spacing w:after="0"/>
              <w:rPr>
                <w:sz w:val="1"/>
                <w:szCs w:val="1"/>
                <w:color w:val="auto"/>
              </w:rPr>
            </w:pPr>
          </w:p>
        </w:tc>
      </w:tr>
      <w:tr>
        <w:trPr>
          <w:trHeight w:val="17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2, 10, and 15)</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806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Common stock, $0.01 par value. Authorized 30,000,000 shares; 21,205,364 and 21,066,899 shares issued at March 31, 2024 and</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December 31, 2023, respectively; and 19,749,255 and 19,610,790 shares outstanding at March 31, 2024 and December 31, 2023,</w:t>
            </w:r>
          </w:p>
        </w:tc>
        <w:tc>
          <w:tcPr>
            <w:tcW w:w="18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165,140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159,462</w:t>
            </w:r>
          </w:p>
        </w:tc>
        <w:tc>
          <w:tcPr>
            <w:tcW w:w="0" w:type="dxa"/>
            <w:vAlign w:val="bottom"/>
          </w:tcPr>
          <w:p>
            <w:pPr>
              <w:spacing w:after="0"/>
              <w:rPr>
                <w:sz w:val="1"/>
                <w:szCs w:val="1"/>
                <w:color w:val="auto"/>
              </w:rPr>
            </w:pPr>
          </w:p>
        </w:tc>
      </w:tr>
      <w:tr>
        <w:trPr>
          <w:trHeight w:val="139"/>
        </w:trPr>
        <w:tc>
          <w:tcPr>
            <w:tcW w:w="806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Less: treasury stock at cost, common stock, 1,456,109 and 1,456,109 shares as of March 31, 2024 and December 31, 2023,</w:t>
            </w:r>
          </w:p>
        </w:tc>
        <w:tc>
          <w:tcPr>
            <w:tcW w:w="18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0" w:type="dxa"/>
            <w:vAlign w:val="bottom"/>
          </w:tcPr>
          <w:p>
            <w:pPr>
              <w:spacing w:after="0"/>
              <w:rPr>
                <w:sz w:val="1"/>
                <w:szCs w:val="1"/>
                <w:color w:val="auto"/>
              </w:rPr>
            </w:pPr>
          </w:p>
        </w:tc>
      </w:tr>
      <w:tr>
        <w:trPr>
          <w:trHeight w:val="193"/>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145,067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202"/>
        </w:trPr>
        <w:tc>
          <w:tcPr>
            <w:tcW w:w="806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168,362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172,634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r>
      <w:tr>
        <w:trPr>
          <w:trHeight w:val="203"/>
        </w:trPr>
        <w:tc>
          <w:tcPr>
            <w:tcW w:w="8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r>
      <w:tr>
        <w:trPr>
          <w:trHeight w:val="23"/>
        </w:trPr>
        <w:tc>
          <w:tcPr>
            <w:tcW w:w="8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28,740</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34,143</w:t>
            </w: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w:t>
            </w:r>
          </w:p>
        </w:tc>
      </w:tr>
      <w:tr>
        <w:trPr>
          <w:trHeight w:val="223"/>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19,286</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19,035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 INCOME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r>
      <w:tr>
        <w:trPr>
          <w:trHeight w:val="203"/>
        </w:trPr>
        <w:tc>
          <w:tcPr>
            <w:tcW w:w="8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r>
      <w:tr>
        <w:trPr>
          <w:trHeight w:val="23"/>
        </w:trPr>
        <w:tc>
          <w:tcPr>
            <w:tcW w:w="8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9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8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 comprehensive income, net of tax</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0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8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Deficit</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4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46"/>
        </w:trPr>
        <w:tc>
          <w:tcPr>
            <w:tcW w:w="2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165,768</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(4,867)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145,067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20,631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160,475</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13,718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158,438</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9"/>
        </w:trPr>
        <w:tc>
          <w:tcPr>
            <w:tcW w:w="24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161,779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159,951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3"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278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income</w:t>
            </w: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(3,163)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Loss on disposals of fixed assets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Unrealized currency translation loss (gain)</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non-current assets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(15,077)</w:t>
            </w:r>
          </w:p>
        </w:tc>
        <w:tc>
          <w:tcPr>
            <w:tcW w:w="0" w:type="dxa"/>
            <w:vAlign w:val="bottom"/>
          </w:tcPr>
          <w:p>
            <w:pPr>
              <w:spacing w:after="0"/>
              <w:rPr>
                <w:sz w:val="1"/>
                <w:szCs w:val="1"/>
                <w:color w:val="auto"/>
              </w:rPr>
            </w:pPr>
          </w:p>
        </w:tc>
      </w:tr>
      <w:tr>
        <w:trPr>
          <w:trHeight w:val="213"/>
        </w:trPr>
        <w:tc>
          <w:tcPr>
            <w:tcW w:w="8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(5,025)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(6,779)</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(2,703)</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 of finance lease</w:t>
            </w: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2"/>
        </w:trPr>
        <w:tc>
          <w:tcPr>
            <w:tcW w:w="840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82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761</w:t>
            </w:r>
          </w:p>
        </w:tc>
        <w:tc>
          <w:tcPr>
            <w:tcW w:w="0" w:type="dxa"/>
            <w:vAlign w:val="bottom"/>
          </w:tcPr>
          <w:p>
            <w:pPr>
              <w:spacing w:after="0"/>
              <w:rPr>
                <w:sz w:val="1"/>
                <w:szCs w:val="1"/>
                <w:color w:val="auto"/>
              </w:rPr>
            </w:pPr>
          </w:p>
        </w:tc>
      </w:tr>
      <w:tr>
        <w:trPr>
          <w:trHeight w:val="207"/>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(8,681)</w:t>
            </w:r>
          </w:p>
        </w:tc>
        <w:tc>
          <w:tcPr>
            <w:tcW w:w="0" w:type="dxa"/>
            <w:vAlign w:val="bottom"/>
          </w:tcPr>
          <w:p>
            <w:pPr>
              <w:spacing w:after="0"/>
              <w:rPr>
                <w:sz w:val="1"/>
                <w:szCs w:val="1"/>
                <w:color w:val="auto"/>
              </w:rPr>
            </w:pPr>
          </w:p>
        </w:tc>
      </w:tr>
      <w:tr>
        <w:trPr>
          <w:trHeight w:val="214"/>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11,294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21,056</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11,441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accrued other and accounts payable related to property and equipment additions</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all amounts in thousands except per share amounts)</w:t>
      </w:r>
    </w:p>
    <w:p>
      <w:pPr>
        <w:spacing w:after="0" w:line="230"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43"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KVH Industries, Inc. (together with its subsidiaries, the Company or KVH) designs, develops, manufactures and markets mobile connectivity services and products for the marine and land markets.</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KVH’s service sales primarily represent revenue earned from satellite Internet airtime services. KVH provides, for monthly fixed and per-usage fees, satellite connectivity encompassing broadband Internet and VoIP services, to its TracNet H-series and TracPhone V-HTS series customers via KVH’s global high-throughput satellite (HTS) network. Revenue from our cellular airtime service increasingly supplements KVH’s satellite-only airtime revenue following the July 2022 launch of the KVH ONE hybrid network and TracNet H-series terminals. This service and product combination integrates global satellite service with KVH-provided cellular service in more than 150 countries, along with shore-based Wi-Fi access. The May 2023 introduction of the KVH ONE OpenNet Program expanded access to KVH's global HTS network and airtime services to non-KVH terminals for the first time.</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AgilePlans, KVH’s connectivity as a service offering, is a monthly subscription model that provides global connectivity to commercial maritime customers. The subscription includes the choice of satellite-only and hybrid terminals, airtime data service,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the Company offers to customers who elect to purchase or lease a TracNet H-series or TracPhone V-HTS series terminal.</w:t>
      </w:r>
    </w:p>
    <w:p>
      <w:pPr>
        <w:spacing w:after="0" w:line="2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five years. Since the Company is retaining ownership of the hardware, it does not accrue any warranty costs for AgilePlans hardware; however, any maintenance costs on the hardware are expensed in the period these costs are incurred.</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Service sales also include the distribution of commercially licensed entertainment, including news, sports, and movies to commercial customers in the maritime and hotel markets through the KVH Media Group, along with supplemental value-added cybersecurity, email, and crew internet services. In addition, KVH earns monthly usage fees from third-party satellite connectivity services, including VoIP, data and Internet services, provided to its Inmarsat and Iridium customers who choose to activate their subscriptions with KVH. Service sales also include sales from product repairs and extended warranty sales.</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KVH’s satellite-only and hybrid products enable marine customers to receive data, Voice over Internet Protocol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KVH's marine leisure business is highly seasonal, and seasonality can also impact the Company's commercial marine business, although typically to a lesser degree. Temporary suspensions of the Company's airtime services typically increase in the fourth and first quarters of each year as boats are placed out of service during the winter months. Historically, the Company has generated the majority of its marine leisure product revenues during the first and second quarters of each year, and these revenues typically decline in the third and fourth quarters of each year, compared to the first two quarters.</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2024. The Company expects to continue to facilitate customer transition to third-party hardware products compatible with its mobile satellite communications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40" w:hanging="432"/>
        <w:spacing w:after="0"/>
        <w:tabs>
          <w:tab w:leader="none" w:pos="4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10-K - Revision for Correction of Immaterial Errors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stated in the Company's Annual Report on Form 10-K for the year ended December 31, 2023, which was filed on March 15, 2024, the Company corrected for errors that were immaterial to its previously reported consolidated financial statements. These errors were identified in connection with the preparation of the Company's consolidated financial statements for the year ended December 31, 2023, and related primarily to the adoption and implementation of Accounting Standards Codification (“ASC”) No. 606, Revenue from Contracts with Customers (“ASC 606”) on January 1, 2018, specifically, the assessment of performance obligations associated with the sales of antennas and airtime-related equipment. The Company evaluated the materiality of these errors both qualitatively and quantitatively in accordance with Staff Accounting Bulletin (“SAB”) No. 99, Materiality, and SAB No. 108, Considering the Effects of Prior Year Misstatements When Quantifying Misstatements in Current Year Financial Statements, and determined that the effect of these corrections was not material to the previously issued financial statements. Therefore, the amounts in the previous period have been revised to reflect the correction of these errors.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2023 filed on March 15, 2024 with the Securities and Exchange Commission. The results for the three months ended March 31, 2024 are not necessarily indicative of operating results for the remainder of the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Estimates and Assumptions and Other Significant Non-Recurring Transactions</w:t>
      </w:r>
    </w:p>
    <w:p>
      <w:pPr>
        <w:spacing w:after="0" w:line="2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Denmark, Singapore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losses, which are comprised of both realized and unrealized foreign currency exchange gains and losses, in its accompanying consolidated statements of operations of $(21) and $(54) for the three months ended March 31, 2024 and 2023, respectively.</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located in the United Kingdom, Brazil,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06"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 and Accounting Standards Not yet Adopted</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are no recent accounting pronouncements that have been issued by the FASB, that are not yet effective and that the Company expects would have a material impact on the Company's financial statements.</w:t>
      </w:r>
    </w:p>
    <w:p>
      <w:pPr>
        <w:spacing w:after="0" w:line="18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Marketable securities as of March 31, 2024 and December 31, 2023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marketable securities designated as available-for-sale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 designated as available-for-sale</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from marketable securities was $720 and $588 during the three months ended March 31, 2024 and 2023, respectively.</w:t>
      </w:r>
    </w:p>
    <w:p>
      <w:pPr>
        <w:spacing w:after="0" w:line="248"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 Stock Equity and Incentive Plan</w:t>
      </w:r>
    </w:p>
    <w:p>
      <w:pPr>
        <w:spacing w:after="0" w:line="17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stock-based compensation in accordance with the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On June 8, 2022, at the Company's 2022 Annual Meeting of Stockholders, the stockholders of the Company approved an amendment and restatement of the Company’s current equity compensation plan to increase the number of shares of common stock reserved for issuance under the plan by 1,280 shares, from 4,800 shares to 6,080 shares (excluding rollover shares). Stock-based compensation expense was $517 and $284, excluding $5 and $12 of compensation expense related to our Amended and Restated 1996 Employee Stock Purchase Plan, or the ESPP, for the three months ended March 31, 2024 and 2023, respectively. As of March 31, 2024, there was $1,918 of total unrecognized compensation expense related to stock options, which is expected to be recognized over a weighted-average period of 2.68 years. As of March 31, 2024, there was $2,399 of total unrecognized compensation expense related to restricted stock awards, which is expected to be recognized over a weighted-average period of 2.65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no shares of common stock were issued upon the exercise of stock options. Additionally, during the three months ended March 31, 2024, 266 stock options were granted and 14 stock options expired, were canceled or were forfeited. During the three months ended March 31, 2023, 317 stock options were granted. The Company has historically estimated the fair value of each option grant on the date of grant using the Black-Scholes option-pricing model. The weighted average assumptions utilized to determine the fair value of options granted during the three months ended March 31, 2024 and 2023 are as follows:</w:t>
      </w:r>
    </w:p>
    <w:p>
      <w:pPr>
        <w:spacing w:after="0" w:line="5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48.63 %</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43.93 %</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there were 1,482 options outstanding with a weighted average exercise price of $8.75 per share and 641 options exercisable with a weighted average exercise price of $9.86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122 shares of restricted stock were granted with a weighted average grant date fair value of $5.03 per share and 8 shares of restricted stock were forfeited. Additionally, during the three months ended March 31, 2024, 66 shares of restricted stock vested, of which no shares of common stock were surrendered to the Company as payment by employees in lieu of cash to satisfy minimum tax withholding obligations in connection with the vesting of restricted stock.</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no unvested outstanding options and no outstanding shares of restricted stock that were subject to performance-based or market-based vesting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Employee Stock Purchase Plan</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March 31, 2024 and 2023, 24 and 0 shares were issued under the ESPP plan, respectively. The Company recorded compensation charges related to the ESPP of $5 and $12 for the three months ended March 31, 2024 and 2023, respectively.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Stock-Based Compensation Expense</w:t>
      </w:r>
    </w:p>
    <w:p>
      <w:pPr>
        <w:spacing w:after="0" w:line="108"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including expense for the ESPP, in the Company's consolidated statements of operations for the three months ended March 31, 2024 and 2023, respectively: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0"/>
                <w:szCs w:val="20"/>
                <w:color w:val="auto"/>
              </w:rPr>
            </w:pPr>
          </w:p>
        </w:tc>
      </w:tr>
      <w:tr>
        <w:trPr>
          <w:trHeight w:val="223"/>
        </w:trPr>
        <w:tc>
          <w:tcPr>
            <w:tcW w:w="784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sales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784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r>
      <w:tr>
        <w:trPr>
          <w:trHeight w:val="20"/>
        </w:trPr>
        <w:tc>
          <w:tcPr>
            <w:tcW w:w="7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Accumulated Other Comprehensive Loss (AOCL)</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(loss) income.</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balances for the three months ended March 31, 2024 and 2023 are as follows:</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0" w:type="dxa"/>
            <w:vAlign w:val="bottom"/>
          </w:tcPr>
          <w:p>
            <w:pPr>
              <w:spacing w:after="0"/>
              <w:rPr>
                <w:sz w:val="17"/>
                <w:szCs w:val="17"/>
                <w:color w:val="auto"/>
              </w:rPr>
            </w:pPr>
          </w:p>
        </w:tc>
        <w:tc>
          <w:tcPr>
            <w:tcW w:w="22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Unrealized (Loss) Gain on</w:t>
            </w:r>
          </w:p>
        </w:tc>
        <w:tc>
          <w:tcPr>
            <w:tcW w:w="100" w:type="dxa"/>
            <w:vAlign w:val="bottom"/>
          </w:tcPr>
          <w:p>
            <w:pPr>
              <w:spacing w:after="0"/>
              <w:rPr>
                <w:sz w:val="17"/>
                <w:szCs w:val="17"/>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 Other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 Sale</w:t>
            </w:r>
          </w:p>
        </w:tc>
        <w:tc>
          <w:tcPr>
            <w:tcW w:w="10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tcPr>
          <w:p>
            <w:pPr>
              <w:spacing w:after="0"/>
              <w:rPr>
                <w:sz w:val="21"/>
                <w:szCs w:val="21"/>
                <w:color w:val="auto"/>
              </w:rPr>
            </w:pP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0" w:type="dxa"/>
            <w:vAlign w:val="bottom"/>
          </w:tcPr>
          <w:p>
            <w:pPr>
              <w:spacing w:after="0"/>
              <w:rPr>
                <w:sz w:val="24"/>
                <w:szCs w:val="24"/>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Unrealized (Loss) Gain on</w:t>
            </w:r>
          </w:p>
        </w:tc>
        <w:tc>
          <w:tcPr>
            <w:tcW w:w="2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Accumulated Other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3"/>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Available for Sale</w:t>
            </w:r>
          </w:p>
        </w:tc>
        <w:tc>
          <w:tcPr>
            <w:tcW w:w="2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tcPr>
          <w:p>
            <w:pPr>
              <w:spacing w:after="0"/>
              <w:rPr>
                <w:sz w:val="19"/>
                <w:szCs w:val="19"/>
                <w:color w:val="auto"/>
              </w:rPr>
            </w:pP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per Common Share</w:t>
      </w:r>
    </w:p>
    <w:p>
      <w:pPr>
        <w:spacing w:after="0" w:line="256" w:lineRule="exact"/>
        <w:rPr>
          <w:sz w:val="20"/>
          <w:szCs w:val="20"/>
          <w:color w:val="auto"/>
        </w:rPr>
      </w:pPr>
    </w:p>
    <w:p>
      <w:pPr>
        <w:jc w:val="both"/>
        <w:ind w:firstLine="248"/>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months ended March 31, 2024, since there was a net loss, the Company excluded 1,584 shares underlying outstanding stock options and non-vested restricted shares from its diluted loss per share calculation, as inclusion of these convertible securities would have reduced the net loss per share.</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basic and diluted weighted average common shares outstanding is as follows:</w:t>
      </w:r>
    </w:p>
    <w:p>
      <w:pPr>
        <w:spacing w:after="0" w:line="23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common shares issuable in connection with stock plans</w:t>
            </w: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120" w:type="dxa"/>
            <w:vAlign w:val="bottom"/>
            <w:shd w:val="clear" w:color="auto" w:fill="CCEEFF"/>
          </w:tcPr>
          <w:p>
            <w:pPr>
              <w:spacing w:after="0"/>
              <w:rPr>
                <w:sz w:val="21"/>
                <w:szCs w:val="21"/>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2" w:name="page13"/>
    <w:bookmarkEnd w:id="12"/>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costing method. Inventories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include the costs of material, labor, and factory overhead. Components of inventories consist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7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3"/>
        </w:trPr>
        <w:tc>
          <w:tcPr>
            <w:tcW w:w="6760" w:type="dxa"/>
            <w:vAlign w:val="bottom"/>
          </w:tcPr>
          <w:p>
            <w:pPr>
              <w:spacing w:after="0"/>
              <w:rPr>
                <w:sz w:val="19"/>
                <w:szCs w:val="19"/>
                <w:color w:val="auto"/>
              </w:rPr>
            </w:pPr>
          </w:p>
        </w:tc>
        <w:tc>
          <w:tcPr>
            <w:tcW w:w="156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19,046</w:t>
            </w:r>
          </w:p>
        </w:tc>
      </w:tr>
      <w:tr>
        <w:trPr>
          <w:trHeight w:val="20"/>
        </w:trPr>
        <w:tc>
          <w:tcPr>
            <w:tcW w:w="6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as of March 31, 2024 and December 31, 2023 consist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67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Revenue-generating assets</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60,984</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103,334</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(55,654)</w:t>
            </w:r>
          </w:p>
        </w:tc>
      </w:tr>
      <w:tr>
        <w:trPr>
          <w:trHeight w:val="223"/>
        </w:trPr>
        <w:tc>
          <w:tcPr>
            <w:tcW w:w="67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47,680</w:t>
            </w:r>
          </w:p>
        </w:tc>
      </w:tr>
      <w:tr>
        <w:trPr>
          <w:trHeight w:val="21"/>
        </w:trPr>
        <w:tc>
          <w:tcPr>
            <w:tcW w:w="6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was $3,147 and $3,368 for the three months ended March 31, 2024 and 2023, respectively.</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revenue-generating hardware assets are utilized by the Company in the delivery of the Company's airtime services, media and other content.</w:t>
      </w:r>
    </w:p>
    <w:p>
      <w:pPr>
        <w:spacing w:after="0" w:line="25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long-lived tangible assets related to the Company’s international subsidiaries were less than 10% of the Company’s long-lived tangible assets.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Warranty</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products carry standard limited warranties that range from one to two years and vary by product. The warranty period begins on the date of retail purchase or lease by the original purchaser.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March 31, 2024 and December 31, 2023, the Company had accrued product warranty costs of $726 and $828,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product warranty activity during 2024 and 2023:</w:t>
            </w: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7"/>
        </w:trPr>
        <w:tc>
          <w:tcPr>
            <w:tcW w:w="7840" w:type="dxa"/>
            <w:vAlign w:val="bottom"/>
          </w:tcPr>
          <w:p>
            <w:pPr>
              <w:spacing w:after="0"/>
              <w:rPr>
                <w:sz w:val="24"/>
                <w:szCs w:val="24"/>
                <w:color w:val="auto"/>
              </w:rPr>
            </w:pPr>
          </w:p>
        </w:tc>
        <w:tc>
          <w:tcPr>
            <w:tcW w:w="28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r>
      <w:tr>
        <w:trPr>
          <w:trHeight w:val="238"/>
        </w:trPr>
        <w:tc>
          <w:tcPr>
            <w:tcW w:w="7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1120" w:type="dxa"/>
            <w:vAlign w:val="bottom"/>
          </w:tcPr>
          <w:p>
            <w:pPr>
              <w:spacing w:after="0"/>
              <w:rPr>
                <w:sz w:val="19"/>
                <w:szCs w:val="19"/>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1"/>
        </w:trPr>
        <w:tc>
          <w:tcPr>
            <w:tcW w:w="7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21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4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12" w:lineRule="exact"/>
        <w:rPr>
          <w:sz w:val="20"/>
          <w:szCs w:val="20"/>
          <w:color w:val="auto"/>
        </w:rPr>
      </w:pPr>
    </w:p>
    <w:p>
      <w:pPr>
        <w:ind w:left="1300" w:hanging="80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that are accessible at the measurement date for identical, unrestricted assets or liabilities. The Company’s Level 1 assets are investments in money market mutual funds.</w:t>
      </w:r>
    </w:p>
    <w:p>
      <w:pPr>
        <w:spacing w:after="0" w:line="189" w:lineRule="exact"/>
        <w:rPr>
          <w:sz w:val="20"/>
          <w:szCs w:val="20"/>
          <w:color w:val="auto"/>
        </w:rPr>
      </w:pPr>
    </w:p>
    <w:p>
      <w:pPr>
        <w:ind w:left="1300" w:hanging="80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or observable prices that are based on observable market data, based on directly or indirectly market-corroborated inputs. The Company has no Level 2 assets or liabilities.</w:t>
      </w:r>
    </w:p>
    <w:p>
      <w:pPr>
        <w:spacing w:after="0" w:line="189" w:lineRule="exact"/>
        <w:rPr>
          <w:sz w:val="20"/>
          <w:szCs w:val="20"/>
          <w:color w:val="auto"/>
        </w:rPr>
      </w:pPr>
    </w:p>
    <w:p>
      <w:pPr>
        <w:ind w:left="1280" w:right="20" w:hanging="809"/>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are developed based on the best information available given the circumstances. The Company has no Level 3 assets.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on the valuation techniques identified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at March 31, 2024 and December 31, 2023 for which the Company measures fair value on a recurring basis, by level, within the fair value hierarchy: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03"/>
        </w:trPr>
        <w:tc>
          <w:tcPr>
            <w:tcW w:w="42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Technique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292"/>
        </w:trPr>
        <w:tc>
          <w:tcPr>
            <w:tcW w:w="4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4"/>
                <w:szCs w:val="2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03"/>
        </w:trPr>
        <w:tc>
          <w:tcPr>
            <w:tcW w:w="42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Technique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Market approach—prices and other relevant information generated by market transactions involving identical or comparable assets.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such as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three months ended March 31, 2024 or 2023. The Company does not have any liabilities that are recorded at fair value on a non-recurring basis.</w:t>
      </w:r>
    </w:p>
    <w:p>
      <w:pPr>
        <w:spacing w:after="0" w:line="203" w:lineRule="exact"/>
        <w:rPr>
          <w:sz w:val="20"/>
          <w:szCs w:val="20"/>
          <w:color w:val="auto"/>
        </w:rPr>
      </w:pPr>
    </w:p>
    <w:p>
      <w:pPr>
        <w:ind w:left="540" w:hanging="532"/>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Intangible assets with finite lives are reviewed for impairment whenever events or changes in circumstances indicate that the carrying amount of an asset group may not be recoverable. Recoverability of intangible assets is measured by a comparison of the carrying amount of an asset group to its future undiscounted cash flows. If these comparisons indicate that an asset group is not recoverable, the Company will recognize an impairment loss for the amount by which the carrying value of the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during the three months ended March 31, 2024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30"/>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acquired in asset acquisition</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Intangible assets arose from the purchase of distribution rights from Kognitive Networks Inc. and the purchase of KVH Industries Norway AS. The assets related to the distribution rights with Kognitive Networks are being amortized on a straight-line basis over the estimated useful life of 3 years. The assets related to the purchase of KVH Industries Norway AS for acquired intellectual property are fully amortized.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8"/>
          <w:szCs w:val="18"/>
          <w:i w:val="1"/>
          <w:iCs w:val="1"/>
          <w:color w:val="auto"/>
        </w:rPr>
        <w:t>Business Combinations (Topic 805)-Clarifying the Definition of a Business</w:t>
      </w:r>
      <w:r>
        <w:rPr>
          <w:rFonts w:ascii="Times New Roman" w:cs="Times New Roman" w:eastAsia="Times New Roman" w:hAnsi="Times New Roman"/>
          <w:sz w:val="18"/>
          <w:szCs w:val="18"/>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Acquired intangible assets are subject to amortization. The following table summarizes acquired intangible assets at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respectively:</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7"/>
                <w:szCs w:val="17"/>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2"/>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expense related to intangible assets was $100 and $93 for the three months ended March 31,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categorized as general and administrative expense.</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the total weighted average remaining useful lives of the definite-lived intangible assets was 3.0.</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recorded by the Company at March 31, 2024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90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vMerge w:val="continue"/>
            <w:shd w:val="clear" w:color="auto" w:fill="CCEEFF"/>
          </w:tcPr>
          <w:p>
            <w:pPr>
              <w:spacing w:after="0"/>
              <w:rPr>
                <w:sz w:val="17"/>
                <w:szCs w:val="17"/>
                <w:color w:val="auto"/>
              </w:rPr>
            </w:pPr>
          </w:p>
        </w:tc>
        <w:tc>
          <w:tcPr>
            <w:tcW w:w="790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76"/>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9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60" w:type="dxa"/>
            <w:vAlign w:val="bottom"/>
          </w:tcPr>
          <w:p>
            <w:pPr>
              <w:spacing w:after="0"/>
              <w:rPr>
                <w:sz w:val="24"/>
                <w:szCs w:val="24"/>
                <w:color w:val="auto"/>
              </w:rPr>
            </w:pPr>
          </w:p>
        </w:tc>
        <w:tc>
          <w:tcPr>
            <w:tcW w:w="1000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The following table summarizes net sales from contracts with customers for the three months ended March 31, 2024 and 2023:</w:t>
            </w:r>
          </w:p>
        </w:tc>
        <w:tc>
          <w:tcPr>
            <w:tcW w:w="1120" w:type="dxa"/>
            <w:vAlign w:val="bottom"/>
          </w:tcPr>
          <w:p>
            <w:pPr>
              <w:spacing w:after="0"/>
              <w:rPr>
                <w:sz w:val="24"/>
                <w:szCs w:val="24"/>
                <w:color w:val="auto"/>
              </w:rPr>
            </w:pPr>
          </w:p>
        </w:tc>
      </w:tr>
      <w:tr>
        <w:trPr>
          <w:trHeight w:val="491"/>
        </w:trPr>
        <w:tc>
          <w:tcPr>
            <w:tcW w:w="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0"/>
        </w:trPr>
        <w:tc>
          <w:tcPr>
            <w:tcW w:w="6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 over time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28,740</w:t>
            </w:r>
          </w:p>
        </w:tc>
      </w:tr>
      <w:tr>
        <w:trPr>
          <w:trHeight w:val="229"/>
        </w:trPr>
        <w:tc>
          <w:tcPr>
            <w:tcW w:w="60" w:type="dxa"/>
            <w:vAlign w:val="bottom"/>
          </w:tcPr>
          <w:p>
            <w:pPr>
              <w:spacing w:after="0"/>
              <w:rPr>
                <w:sz w:val="19"/>
                <w:szCs w:val="19"/>
                <w:color w:val="auto"/>
              </w:rPr>
            </w:pPr>
          </w:p>
        </w:tc>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 point in time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48"/>
        </w:trPr>
        <w:tc>
          <w:tcPr>
            <w:tcW w:w="6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w:t>
            </w:r>
          </w:p>
        </w:tc>
      </w:tr>
      <w:tr>
        <w:trPr>
          <w:trHeight w:val="20"/>
        </w:trPr>
        <w:tc>
          <w:tcPr>
            <w:tcW w:w="6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offers a comprehensive family of mobile satellite antenna services and products that provide access to the Internet, television, and VoIP services while on the move. Product sales accounted for 14% and 16% of the Company's consolidated net sales for the three months ended March 31, 2024 and 2023, respectively. Service sales of VSAT Broadband airtime service accounted for 78% and 79% of the Company's consolidated net sales for the three months ended March 31, 2024 and 2023, respectively. The balance of service sales is comprised of distribution of commercially licensed entertainment and news, product repairs, and extended warranty sales.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 single product class accounts for 10% or more of the Company's consolidated net sales.</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72% and 65% of consolidated net sales for the three months ended March 31, 2024 and 2023, respectively. Sales to Singapore customers represented 22% and 18% of the Company's consolidated net sales for the three months ended March 31, 2024 and 2023, respectively. No other individual foreign country represented 10% or more of the Company's consolidated net sales for the three months ended March 31, 2024 or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Credit Concentrations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single customer accounted for 10% or more of consolidated net sales for the three months ended March 31, 2024 or 2023. One customer accounted for approximately 20% and 23% of accounts receivable at March 31, 2024 and December 31, 2023, respectively. One customer accounted for 61% and 62% of long-term accounts receivable included in other non-current assets on the consolidated balance sheets related to sales-type leases at March 31, 2024 and December 31, 2023, respectively.</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2024 was (2.5)% compared with 4.7% for the corresponding periods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reserves for uncertain tax positions of $693 and $673, respectively. There were no material changes during the three months ended March 31, 2024 to the Company’s reserve for uncertain tax positions. The Company estimates that it is reasonably possible that the balance of unrecognized tax benefits as of March 31, 2024 may decrease $27 in the next twelve months as a result of a lapse of statutes of limitations and settlements with taxing authorities.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2020,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540" w:hanging="532"/>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office facilities, equipment, and satellite service capacity and related equipment. Lease expense was $353 and $452 for the three months ended March 31, 2024 and 2023, respectively. Short-term operating lease costs were $19 and $25 for the three months ended March 31, 2024 and 2023, respectively. Maturities of lease liabilities as of March 31, 2024 under operating leases having an initial or remaining non-cancelable term of one year or more are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1,023</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1,705</w:t>
            </w:r>
          </w:p>
        </w:tc>
      </w:tr>
      <w:tr>
        <w:trPr>
          <w:trHeight w:val="270"/>
        </w:trPr>
        <w:tc>
          <w:tcPr>
            <w:tcW w:w="8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net minimum operating lease payments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1,609</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installments of obligation under current-operating lease liabilities</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1,211</w:t>
            </w:r>
          </w:p>
        </w:tc>
      </w:tr>
      <w:tr>
        <w:trPr>
          <w:trHeight w:val="248"/>
        </w:trPr>
        <w:tc>
          <w:tcPr>
            <w:tcW w:w="8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under long-term operating lease liabilities, excluding current installments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enters into leases with certain customers primarily for the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current portion of the net investment in these leases was $3,284 as of March 31, 2024 and the non-current portion of the net investment in these leases was $3,269 as of March 31, 2024.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$129 and $168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234"/>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future undiscounted cash flows from these leases as of March 31, 2024 are:</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70"/>
        </w:trPr>
        <w:tc>
          <w:tcPr>
            <w:tcW w:w="8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between undiscounted cash flows and discounted cash flows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8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 gross costs and accumulated depreciation associated with these operating leases are included in revenue generating assets and amounted to $1,861 and $975, respectively. They are depreciated on a straight-line basis over a five-year estimated useful life. Depreciation expense for these assets was $93 for the three months ended March 31, 2024, respectively.</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Lease revenue recognized was $125 for the three months ended March 31, 2024, respectively, in service sales in the consolidated statements of operations.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 March 31, 2024, minimum future lease payments to be recognized on the operating leases are as follows:</w:t>
            </w: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8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43"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2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at the Middletown facility by the end of 2024. The Company expects to continue to facilitate customer transition to third-party hardware products compatible with the Company’s mobile satellite communications services. The Company also plans to continue to conduct maintenance, service, warehousing, shipping and receiving activities at the Middletown location.</w:t>
      </w:r>
    </w:p>
    <w:p>
      <w:pPr>
        <w:spacing w:after="0" w:line="2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part of this restructuring, the Company will reduce its headcount by approximately 75 employees, or approximately 20% of its total workforce as of the time the Company announced the restructuring. Approximately one-half of the employee terminations have been completed, and the remaining terminations are expected to be completed by the end of the second quarter of 2024. Approximately $2.2 million of severance charges were incurred in the three months ended March 31, 2024. The Company expects to incur aggregate severance charges for this restructuring of approximately $3.3 million, consisting of approximately $3.0 million of cash charges and approximately $0.3 million of non-cash charges arising from pre-existing contractual obligations to accelerate vesting of certain outstanding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ind w:right="110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Introduction</w:t>
      </w:r>
    </w:p>
    <w:p>
      <w:pPr>
        <w:spacing w:after="0" w:line="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annual report on Form 10-K for the year ended December 31, 2023.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news, sports, music, and movies, to commercial customers in the maritime and hotel markets, along with supplemental value-added cybersecurity, email, and crew internet services.</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generate a substantial majority of our revenues from sales of satellite Internet airtime services. We provide, for monthly fixed fees and per-usage fees, satellite connectivity encompassing broadband Internet, data and VoIP services, to customers via our global HTS network. In mid-2022, we launched our KVH ONE hybrid network, which integrates global satellite service with KVH-provided cellular service in more than 150 countries, along with shore-based Wi-Fi access. Revenue from our cellular airtime service has increasingly supplemented, and we expect will continue to supplement, our satellite-only airtime revenue. In addition, we earn monthly usage fees from sales of third-party satellite connectivity for VoIP, data and Internet services to our Inmarsat, Iridium, and Starlink customers who choose to activate their subscriptions with us. We expect to earn usage fees from OneWeb service upon the launch of that service in the second quarter of 2024. We also generate service revenue from product repairs and extended warranty sales.</w:t>
      </w:r>
    </w:p>
    <w:p>
      <w:pPr>
        <w:spacing w:after="0" w:line="2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service sales also include the distribution of entertainment, including news, sports, music, and movies, to commercial customers in the maritime and hotel markets through KVH Media Group, along with supplemental value-added services.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also offered satellite communications products, but these products have represented a declining percentage of our revenues in recent years. Our satellite-only and hybrid products enable marine customers to receive data, 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21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2024. We expect to continue to facilitate customer transition to third-party hardware products compatible with our mobile satellite communications services. We also plan to continue to conduct maintenance, service, warehousing, shipping and receiving activities at the Middletown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part of this restructuring, we will reduce our headcount by approximately 75 employees, or approximately 20% of our total workforce as of the time we announced the restructuring. Approximately one-half of the employee terminations have been completed, and the remaining terminations are expected to be completed by the end of the second quarter of 2024. Approximately $2.2 million of severance charges were incurred in the three months ended March 31, 2024. We expect to incur aggregate severance charges for this restructuring of approximately $3.3 million, consisting of approximately $3.0 million of cash charges and approximately $0.3 million of non-cash charges arising from pre-existing contractual obligations to accelerate vesting of certain outstanding equity compensation awards.</w:t>
      </w:r>
    </w:p>
    <w:p>
      <w:pPr>
        <w:spacing w:after="0" w:line="2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marine leisure business has been highly seasonal, and seasonality can also impact our commercial marine business. Temporary suspensions of our airtime services typically increase in the third and fourth quarters of each year as boats are placed out of service during the winter months. Historically, we have generated the majority of our marine leisure product revenues during the first and second quarters of each year, and these revenues typically decline in the third and fourth quarters of each year, compared to the first two quarters.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2023.</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Critical accounting estimates are those estimates made that involve a significant level of estimation uncertainty and have had or are reasonably likely to have an impact on our statement of operations. We believe that our accounting estimates for intangible assets and other long-lived assets are the only estimates critical to an understanding and evaluation of our financial results for the three months ended March 31, 2024, as discussed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for the periods indicated, certain financial data relating to our operations expressed as a percentage of net sales:</w:t>
      </w:r>
    </w:p>
    <w:p>
      <w:pPr>
        <w:spacing w:after="0" w:line="15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r>
      <w:tr>
        <w:trPr>
          <w:trHeight w:val="230"/>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76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w:t>
            </w:r>
          </w:p>
        </w:tc>
      </w:tr>
      <w:tr>
        <w:trPr>
          <w:trHeight w:val="230"/>
        </w:trPr>
        <w:tc>
          <w:tcPr>
            <w:tcW w:w="87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6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7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net sales for the three months ended March 31, 2024 and 2023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vMerge w:val="restart"/>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6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sales decreased by $4.9 million, or 14%, for the three months ended March 31, 2024 as compared to the three months ended March 31, 2023. Service sales decreased by $3.7 million, or 13%, to $25.0 million for the three months ended March 31, 2024 from $28.7 million for the three months ended March 31, 2023. The decrease was primarily due to a $4.1 million decrease in our VSAT service sales driven primarily by a decrease in subscribers, partially offset by a $0.7 million increase in Starlink service sales. Alternative solutions offered by recent low-earth-orbit (LEO) entrants have heightened competition in the global leisure segment and in commercial and government markets.</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that the trend of intensifying competition from LEO satellite service providers will continue and that our quarterly revenues from VSAT service sales will continue to decline on a year-over-year basis at least through the end of 2024. It is possible that the rate of reduction will accelerate. A key driver of the anticipated reduction in revenue is an acceleration of the previously disclosed transition by one of our largest customers, the U.S. Coast Guard, of its primary satellite service relationship to Starlink. As a result of the accelerated transition, the anticipated decline in revenue from this customer will occur earlier, reducing the aggregate amount of revenue we expect to receive from this customer in 2024.</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Product sales decreased by $1.2 million, or 22%, to $4.2 million for the three months ended March 31, 2024 from $5.4 million for the three months ended March 31, 2023. The decrease in product sales was primarily due to a $1.3 million decrease in VSAT Broadband product sales and a $0.8 million decrease in TracVision product sales, partially offset by a $1.4 million increase in Starlink product sales. The decline in product sales was primarily due to a decrease in unit sales volume, particularly in our global leisure segment. Competition from low-cost alternatives to VSAT, which include streaming capabilities, has had a significant impact on sales of both TracVision and VSAT Broadband products in the leisure segment.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Costs of sales consists of costs of service sales and costs of product sales. Costs of sales decreased by $2.0 million, or 10%, in the three months ended March 31, 2024 to $19.4 million from $21.4 million in the three months ended March 31, 2023. The decrease in costs of sales was driven by a $2.0 million decrease in costs of service sales and a less than $0.1 million decrease in costs of product sales. As a percentage of net sales, costs of sales were 66% and 63% for the three months ended March 31, 2024 and 2023, respectively.</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March 31, 2024, costs of service sales decreased by $2.0 million, or 13%, to $14.0 million from $16.1 million for the three months ended March 31, 2023, primarily due to a $2.5 million decrease in VSAT Broadband airtime costs of service sales, partially offset by a $0.5 million increase in Starlink airtime costs of service sales. As a percentage of service sales, costs of service sales were 56% for both the three months ended March 31, 2024 and 2023. We expect that margins on our new reseller arrangements will be lower than current margins on our VSAT Broadband airtime services.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costs of product sales consist primarily of materials, manufacturing overhead, and direct labor used to produce our products. For the three months ended March 31, 2024, costs of product sales remained flat period-over-period at $5.3 million for both the three months ended March 31, 2024 and 2023, primarily due to a $1.3 million increase in Starlink cost of product sales, partially offset by a $0.7 million decrease in VSAT Broadband cost of product sales and a $0.6 million decrease in TracVision cost of product sales. As a percentage of product sales, costs of product sales were 126% and 98% for the three months ended March 31, 2024 and 2023, respectively. Cost of product sales increased as a percentage of product sales primarily due to unabsorbed expenses driven by the under-utilization of the factory and severance costs for manufacturing employees in the first quarter of 2024.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March 31, 2024 increased by $0.5 million, or 18%, to $3.0 million from $2.6 million for the three months ended March 31, 2023. The increase in research and development expense resulted primarily from a $0.5 million increase in salaries, benefits and taxes, which was driven by $0.8 million in costs related to the reduction in our workforce beginning in February 2024. As a percentage of net sales, research and development expense was 10% and 8% for the three months ended March 31, 2024 and 2023, respectively.</w:t>
      </w:r>
    </w:p>
    <w:p>
      <w:pPr>
        <w:spacing w:after="0" w:line="2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March 31, 2024 decreased by $0.3 million, or 6%, to $5.4 million from $5.7 million for the three months ended March 31, 2023. The decrease in sales, marketing and support expense resulted primarily from a $0.3 million decrease in salaries, benefits and taxes, excluding costs related to the previously mentioned deduction in workforce, and a $0.2 million decrease in bad debt expense. These decreases were partially offset by $0.3 million in costs related to the reduction in our workforce beginning in February 2024. As a percentage of net sales, sales, marketing and support expense was 18% and 17% for the three months ended March 31, 2024 and 2023, respectively.</w:t>
      </w:r>
    </w:p>
    <w:p>
      <w:pPr>
        <w:spacing w:after="0" w:line="21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March 31, 2024 increased by $0.6 million, or 14%, to $5.3 million from $4.7 million for the three months ended March 31, 2023. The increase in general and administrative expense resulted primarily from a $1.2 million increase in salaries, benefits and taxes, which was driven by $0.6 million in costs related to the reduction in our workforce beginning in February 2024 and a $0.5 million reduction in reimbursements made by EMCORE for expenses incurred under the transition services agreement relating to the sale of the inertial navigation business in August 2022. Partially offsetting these items was a $1.0 million decrease in professional fees, related to a decrease in legal fees, as well as additional accounting and consulting costs incurred during the three months ended March 31, 2023 to prepare our 2022 annual filings. As a percentage of net sales, general and administrative expense was 18% and 14% for the three months ended March 31, 2024 and 2023,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income increased by $0.1 million to $0.9 million for the three months ended March 31, 2024 from $0.8 million for the three months ended March 31, 2023. Of the current period interest income of $0.9 million, $0.8 million is attributable to interest earned on cash and cash equivalents, and the remaining $0.1 million was attributable to interest from lease receivables. Other expense, net remained flat at $0.2 million for both the three months ended March 31,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 expense for the three months ended March 31, 2024 and 2023 was $0.1 million and less than $0.1 million, respectively, and related to taxes on income earned in foreign jurisdictions.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cash flows from operations, bank financings and proceeds received from exercises of stock options and the issuance of stock.</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9, 2022, we sold our inertial navigation business to EMCORE Corporation for net proceeds of $54.9 million, less specified deductions.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we had $66.6 million in cash, cash equivalents, and marketable securities, of which $3.7 million in cash and cash equivalents was held in local currencies by our foreign subsidiaries. Our foreign subsidiaries held no marketable securities as of March 31, 2024. As of March 31, 2024, we had $93.0 million in working capital.</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used in operations was $0.8 million for the three months ended March 31, 2024 compared to net cash used in operations of $6.8 million for the three months ended March 31, 2023. The $6.0 million decrease in net cash used in operations was primarily the result of a $17.3 million decrease in cash outflows related to accounts payable, a $1.1 million decrease in cash outflows relating to inventories, a change of $0.6 million related to non-cash items and a $0.2 million decrease in cash outflows relating to prepaid expenses and other current assets, partially offset by an $8.5 million increase in cash outflows relating to accrued compensation, product warranty and other expenses, a $3.5 million increase in net loss, and a $1.1 million decrease in cash inflows relating to accounts receivable.</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$0.9 million for the three months ended March 31, 2024 compared to net cash used in investing activities of $2.7 million for the three months ended March 31, 2023. The $3.6 million change in net cash provided by investing activities was primarily the result of a $3.9 million decrease in net investment in marketable securities, partially offset by a $0.3 million increase in capital expenditures.</w:t>
      </w:r>
    </w:p>
    <w:p>
      <w:pPr>
        <w:spacing w:after="0" w:line="203"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three months ended March 31, 2024 compared to net cash provided by financing activities of $0.8 million for the three months ended March 31, 2023. The $0.7 million decrease in net cash provided by financing activities is primarily attributable to a $0.9 million decrease in cash inflows relating to proceeds from the exercise of stock options and purchases under our employee stock purchase plan, partially offset by a $0.2 million decrease in cash outflows related to the repurchase of common stock to satisfy specific tax withholding obligations arising from accelerated vesting of executive stock grants in 2023.</w:t>
      </w:r>
    </w:p>
    <w:p>
      <w:pPr>
        <w:spacing w:after="0" w:line="2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the effectiveness of our disclosure controls and procedures as of March 31, 2024, the end of the period covered by this interim report. Based on that evaluation, our Chief Executive Officer and Chief Financial Officer concluded that our disclosure controls and procedures were effective as of March 31,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Evaluation of Changes in Internal Control over Financial Reporting</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has evaluated changes in our internal control over financial reporting that occurred during the first quarter of 2024. Based on that evaluation, our Chief Executive Officer and Chief Financial Officer did not identify any change in our internal control over financial reporting during the first quarter of 2024 that has materially affected, or is reasonably likely to materially affect, our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Considerations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ind w:left="42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w:t>
            </w:r>
          </w:p>
        </w:tc>
        <w:tc>
          <w:tcPr>
            <w:tcW w:w="0" w:type="dxa"/>
            <w:vAlign w:val="bottom"/>
          </w:tcPr>
          <w:p>
            <w:pPr>
              <w:spacing w:after="0"/>
              <w:rPr>
                <w:sz w:val="1"/>
                <w:szCs w:val="1"/>
                <w:color w:val="auto"/>
              </w:rPr>
            </w:pPr>
          </w:p>
        </w:tc>
      </w:tr>
      <w:tr>
        <w:trPr>
          <w:trHeight w:val="195"/>
        </w:trPr>
        <w:tc>
          <w:tcPr>
            <w:tcW w:w="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478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Form 10-Q</w:t>
            </w:r>
          </w:p>
        </w:tc>
        <w:tc>
          <w:tcPr>
            <w:tcW w:w="0" w:type="dxa"/>
            <w:vAlign w:val="bottom"/>
          </w:tcPr>
          <w:p>
            <w:pPr>
              <w:spacing w:after="0"/>
              <w:rPr>
                <w:sz w:val="1"/>
                <w:szCs w:val="1"/>
                <w:color w:val="auto"/>
              </w:rPr>
            </w:pPr>
          </w:p>
        </w:tc>
      </w:tr>
      <w:tr>
        <w:trPr>
          <w:trHeight w:val="188"/>
        </w:trPr>
        <w:tc>
          <w:tcPr>
            <w:tcW w:w="840" w:type="dxa"/>
            <w:vAlign w:val="bottom"/>
            <w:tcBorders>
              <w:top w:val="single" w:sz="8" w:color="auto"/>
            </w:tcBorders>
            <w:gridSpan w:val="3"/>
          </w:tcPr>
          <w:p>
            <w:pPr>
              <w:jc w:val="right"/>
              <w:spacing w:after="0" w:line="188"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Amended and Restated Certificate of Incorporation, as</w:t>
            </w: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gridSpan w:val="3"/>
          </w:tcPr>
          <w:p>
            <w:pPr>
              <w:jc w:val="right"/>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Designations of Series A Junior Participating</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Cumulative Preferred Stock of KVH Industries, Inc. classifying</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designating the Series A Junior Participating Cumulative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40" w:type="dxa"/>
            <w:vAlign w:val="bottom"/>
            <w:gridSpan w:val="3"/>
          </w:tcPr>
          <w:p>
            <w:pPr>
              <w:jc w:val="right"/>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3"/>
          </w:tcPr>
          <w:p>
            <w:pPr>
              <w:jc w:val="right"/>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Specimen certificate for the common stock</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13a-14(a)/15d-14(a) certification of principal executive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13a-14(a)/15d-14(a) certification of principal financial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1350 certification of principal executive officer and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KVH Industries,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Inc.'s Quarterly Report on Form 10-Q for the quarter ended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March  31,  2024,  formatted  in  Inline  XBRL  (Extensible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Business Reporting Language): (i) the Consolidated Balance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80"/>
        <w:spacing w:after="0" w:line="228" w:lineRule="auto"/>
        <w:tabs>
          <w:tab w:leader="none" w:pos="1600" w:val="left"/>
          <w:tab w:leader="none" w:pos="2620" w:val="left"/>
          <w:tab w:leader="none" w:pos="3000" w:val="left"/>
          <w:tab w:leader="none" w:pos="3380" w:val="left"/>
          <w:tab w:leader="none" w:pos="4480" w:val="left"/>
          <w:tab w:leader="none" w:pos="5440" w:val="left"/>
        </w:tabs>
        <w:rPr>
          <w:sz w:val="20"/>
          <w:szCs w:val="20"/>
          <w:color w:val="auto"/>
        </w:rPr>
      </w:pPr>
      <w:r>
        <w:rPr>
          <w:rFonts w:ascii="Times New Roman" w:cs="Times New Roman" w:eastAsia="Times New Roman" w:hAnsi="Times New Roman"/>
          <w:sz w:val="18"/>
          <w:szCs w:val="18"/>
          <w:color w:val="auto"/>
        </w:rPr>
        <w:t>Sheets</w:t>
        <w:tab/>
        <w:t>(unaudited),</w:t>
        <w:tab/>
        <w:t>(ii)</w:t>
        <w:tab/>
        <w:t>the</w:t>
        <w:tab/>
        <w:t>Consolidated</w:t>
        <w:tab/>
        <w:t>Statements</w:t>
      </w:r>
      <w:r>
        <w:rPr>
          <w:sz w:val="20"/>
          <w:szCs w:val="20"/>
          <w:color w:val="auto"/>
        </w:rPr>
        <w:tab/>
      </w:r>
      <w:r>
        <w:rPr>
          <w:rFonts w:ascii="Times New Roman" w:cs="Times New Roman" w:eastAsia="Times New Roman" w:hAnsi="Times New Roman"/>
          <w:sz w:val="16"/>
          <w:szCs w:val="16"/>
          <w:color w:val="auto"/>
        </w:rPr>
        <w:t>of</w:t>
      </w:r>
    </w:p>
    <w:p>
      <w:pPr>
        <w:ind w:left="980"/>
        <w:spacing w:after="0" w:line="203" w:lineRule="auto"/>
        <w:rPr>
          <w:sz w:val="20"/>
          <w:szCs w:val="20"/>
          <w:color w:val="auto"/>
        </w:rPr>
      </w:pPr>
      <w:r>
        <w:rPr>
          <w:rFonts w:ascii="Times New Roman" w:cs="Times New Roman" w:eastAsia="Times New Roman" w:hAnsi="Times New Roman"/>
          <w:sz w:val="18"/>
          <w:szCs w:val="18"/>
          <w:color w:val="auto"/>
        </w:rPr>
        <w:t>Operations (unaudited), (iii) the Consolidated Statements of</w:t>
      </w:r>
    </w:p>
    <w:p>
      <w:pPr>
        <w:ind w:left="980"/>
        <w:spacing w:after="0" w:line="220" w:lineRule="auto"/>
        <w:tabs>
          <w:tab w:leader="none" w:pos="2320" w:val="left"/>
          <w:tab w:leader="none" w:pos="3000" w:val="left"/>
          <w:tab w:leader="none" w:pos="3780" w:val="left"/>
          <w:tab w:leader="none" w:pos="4880" w:val="left"/>
          <w:tab w:leader="none" w:pos="5360" w:val="left"/>
        </w:tabs>
        <w:rPr>
          <w:sz w:val="20"/>
          <w:szCs w:val="20"/>
          <w:color w:val="auto"/>
        </w:rPr>
      </w:pPr>
      <w:r>
        <w:rPr>
          <w:rFonts w:ascii="Times New Roman" w:cs="Times New Roman" w:eastAsia="Times New Roman" w:hAnsi="Times New Roman"/>
          <w:sz w:val="18"/>
          <w:szCs w:val="18"/>
          <w:color w:val="auto"/>
        </w:rPr>
        <w:t>Comprehensive</w:t>
        <w:tab/>
        <w:t>(Loss)</w:t>
        <w:tab/>
        <w:t>Income</w:t>
        <w:tab/>
        <w:t>(unaudited),</w:t>
        <w:tab/>
        <w:t>(iv)</w:t>
        <w:tab/>
        <w:t>the</w:t>
      </w:r>
    </w:p>
    <w:p>
      <w:pPr>
        <w:ind w:left="980"/>
        <w:spacing w:after="0" w:line="203" w:lineRule="auto"/>
        <w:rPr>
          <w:sz w:val="20"/>
          <w:szCs w:val="20"/>
          <w:color w:val="auto"/>
        </w:rPr>
      </w:pPr>
      <w:r>
        <w:rPr>
          <w:rFonts w:ascii="Times New Roman" w:cs="Times New Roman" w:eastAsia="Times New Roman" w:hAnsi="Times New Roman"/>
          <w:sz w:val="18"/>
          <w:szCs w:val="18"/>
          <w:color w:val="auto"/>
        </w:rPr>
        <w:t>Consolidated Statements of Stockholders' Equity (unaudited),</w:t>
      </w:r>
    </w:p>
    <w:p>
      <w:pPr>
        <w:ind w:left="1240" w:hanging="256"/>
        <w:spacing w:after="0" w:line="204"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(unaudited), and</w:t>
      </w:r>
    </w:p>
    <w:p>
      <w:pPr>
        <w:ind w:left="1340" w:hanging="356"/>
        <w:spacing w:after="0" w:line="219"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Consolidated Interim Financial Statements</w:t>
      </w:r>
    </w:p>
    <w:p>
      <w:pPr>
        <w:ind w:left="980"/>
        <w:spacing w:after="0"/>
        <w:rPr>
          <w:sz w:val="20"/>
          <w:szCs w:val="20"/>
          <w:color w:val="auto"/>
        </w:rPr>
      </w:pPr>
      <w:r>
        <w:rPr>
          <w:rFonts w:ascii="Times New Roman" w:cs="Times New Roman" w:eastAsia="Times New Roman" w:hAnsi="Times New Roman"/>
          <w:sz w:val="18"/>
          <w:szCs w:val="18"/>
          <w:color w:val="auto"/>
        </w:rPr>
        <w:t>(unaudited).</w:t>
      </w:r>
    </w:p>
    <w:p>
      <w:pPr>
        <w:spacing w:after="0" w:line="57" w:lineRule="exact"/>
        <w:rPr>
          <w:sz w:val="20"/>
          <w:szCs w:val="20"/>
          <w:color w:val="auto"/>
        </w:rPr>
      </w:pPr>
    </w:p>
    <w:p>
      <w:pPr>
        <w:ind w:left="980" w:right="600" w:hanging="459"/>
        <w:spacing w:after="0" w:line="297" w:lineRule="auto"/>
        <w:tabs>
          <w:tab w:leader="none" w:pos="9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 XBRL document)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r>
      <w:tr>
        <w:trPr>
          <w:trHeight w:val="234"/>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6, 2010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468"/>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19,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823"/>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November 1, 2017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 2018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2">
            <w:col w:w="7060" w:space="100"/>
            <w:col w:w="4060"/>
          </w:cols>
          <w:pgMar w:left="320" w:top="765" w:right="359" w:bottom="1440" w:gutter="0" w:footer="0" w:header="0"/>
        </w:sectPr>
      </w:pPr>
    </w:p>
    <w:bookmarkStart w:id="27" w:name="page28"/>
    <w:bookmarkEnd w:id="27"/>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Date: May 6, 2024</w:t>
      </w:r>
    </w:p>
    <w:p>
      <w:pPr>
        <w:spacing w:after="0" w:line="7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KVH Industries, Inc.</w:t>
      </w:r>
    </w:p>
    <w:p>
      <w:pPr>
        <w:spacing w:after="0" w:line="77" w:lineRule="exact"/>
        <w:rPr>
          <w:sz w:val="20"/>
          <w:szCs w:val="20"/>
          <w:color w:val="auto"/>
        </w:rPr>
      </w:pPr>
    </w:p>
    <w:p>
      <w:pPr>
        <w:ind w:left="5260"/>
        <w:spacing w:after="0"/>
        <w:tabs>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Anthony F. Pike</w:t>
      </w:r>
    </w:p>
    <w:p>
      <w:pPr>
        <w:spacing w:after="0" w:line="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(Duly Authorized Officer and Chief Financial</w:t>
      </w:r>
    </w:p>
    <w:p>
      <w:pPr>
        <w:ind w:left="820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280"/>
          </w:cols>
          <w:pgMar w:left="320" w:top="1035" w:right="12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C. Bruun,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KVH Industries,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spacing w:after="0" w:line="282" w:lineRule="auto"/>
        <w:tabs>
          <w:tab w:leader="none" w:pos="1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494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Brent C. Bruun</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or 15d-14 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F. Pike,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KVH Industries,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3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spacing w:after="0" w:line="282" w:lineRule="auto"/>
        <w:tabs>
          <w:tab w:leader="none" w:pos="13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2494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Anthony F. Pike</w:t>
      </w: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KVH Industries, Inc. (the “Company”) for the quarter ended March 31, 2024,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9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Brent C. Bruun</w:t>
            </w:r>
          </w:p>
        </w:tc>
        <w:tc>
          <w:tcPr>
            <w:tcW w:w="1340" w:type="dxa"/>
            <w:vAlign w:val="bottom"/>
          </w:tcPr>
          <w:p>
            <w:pPr>
              <w:spacing w:after="0"/>
              <w:rPr>
                <w:sz w:val="17"/>
                <w:szCs w:val="17"/>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 Anthony F. Pike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Brent C. Bruun</w:t>
            </w:r>
          </w:p>
        </w:tc>
        <w:tc>
          <w:tcPr>
            <w:tcW w:w="2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Anthony F. Pike</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340" w:type="dxa"/>
            <w:vAlign w:val="bottom"/>
          </w:tcPr>
          <w:p>
            <w:pPr>
              <w:spacing w:after="0"/>
              <w:rPr>
                <w:sz w:val="24"/>
                <w:szCs w:val="24"/>
                <w:color w:val="auto"/>
              </w:rPr>
            </w:pPr>
          </w:p>
        </w:tc>
        <w:tc>
          <w:tcPr>
            <w:tcW w:w="1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1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Date:</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May 6, 2024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3"/>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decimal"/>
      <w:start w:val="15"/>
    </w:lvl>
  </w:abstractNum>
  <w:abstractNum w:abstractNumId="17">
    <w:nsid w:val="62BBD95A"/>
    <w:multiLevelType w:val="hybridMultilevel"/>
    <w:lvl w:ilvl="0">
      <w:lvlJc w:val="left"/>
      <w:lvlText w:val="(%1)"/>
      <w:numFmt w:val="decimal"/>
      <w:start w:val="16"/>
    </w:lvl>
  </w:abstractNum>
  <w:abstractNum w:abstractNumId="18">
    <w:nsid w:val="436C6125"/>
    <w:multiLevelType w:val="hybridMultilevel"/>
    <w:lvl w:ilvl="0">
      <w:lvlJc w:val="left"/>
      <w:lvlText w:val="(%1)"/>
      <w:numFmt w:val="lowerRoman"/>
      <w:start w:val="5"/>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1" Type="http://schemas.openxmlformats.org/officeDocument/2006/relationships/hyperlink" Target="https://www.sec.gov/Archives/edgar/data/1007587/000119312510179682/dex31.htm" TargetMode="External"/><Relationship Id="rId42" Type="http://schemas.openxmlformats.org/officeDocument/2006/relationships/hyperlink" Target="https://www.sec.gov/Archives/edgar/data/1007587/000110465922092774/tm2223782d1_ex3-1.htm" TargetMode="External"/><Relationship Id="rId43" Type="http://schemas.openxmlformats.org/officeDocument/2006/relationships/hyperlink" Target="https://www.sec.gov/Archives/edgar/data/1007587/000100758717000038/kvhi1101201710qex32.htm" TargetMode="External"/><Relationship Id="rId44" Type="http://schemas.openxmlformats.org/officeDocument/2006/relationships/hyperlink" Target="https://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2024-05-06T16:23:12Z</dcterms:created>
  <dcterms:modified xsi:type="dcterms:W3CDTF">2024-05-06T16:23:12Z</dcterms:modified>
</cp:coreProperties>
</file>