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40005</wp:posOffset>
            </wp:positionV>
            <wp:extent cx="207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61595</wp:posOffset>
            </wp:positionV>
            <wp:extent cx="207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32" w:lineRule="exact"/>
        <w:rPr>
          <w:sz w:val="24"/>
          <w:szCs w:val="24"/>
          <w:color w:val="auto"/>
        </w:rPr>
      </w:pPr>
    </w:p>
    <w:p>
      <w:pPr>
        <w:ind w:left="680" w:right="380" w:hanging="658"/>
        <w:spacing w:after="0" w:line="233"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 w:lineRule="exact"/>
        <w:rPr>
          <w:sz w:val="24"/>
          <w:szCs w:val="24"/>
          <w:color w:val="auto"/>
        </w:rPr>
      </w:pPr>
    </w:p>
    <w:p>
      <w:pPr>
        <w:ind w:left="680" w:right="360" w:hanging="658"/>
        <w:spacing w:after="0" w:line="233"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1040" w:type="dxa"/>
        <w:tblCellMar>
          <w:top w:w="0" w:type="dxa"/>
          <w:left w:w="0" w:type="dxa"/>
          <w:bottom w:w="0" w:type="dxa"/>
          <w:right w:w="0" w:type="dxa"/>
        </w:tblCellMar>
      </w:tblPr>
      <w:tr>
        <w:trPr>
          <w:trHeight w:val="195"/>
        </w:trPr>
        <w:tc>
          <w:tcPr>
            <w:tcW w:w="2460" w:type="dxa"/>
            <w:vAlign w:val="bottom"/>
          </w:tcPr>
          <w:p>
            <w:pPr>
              <w:spacing w:after="0"/>
              <w:rPr>
                <w:sz w:val="17"/>
                <w:szCs w:val="17"/>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30"/>
        </w:trPr>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7"/>
                <w:szCs w:val="17"/>
                <w:b w:val="1"/>
                <w:bCs w:val="1"/>
                <w:color w:val="auto"/>
              </w:rPr>
              <w:t>Commission File Number 0-28082</w:t>
            </w:r>
          </w:p>
        </w:tc>
      </w:tr>
      <w:tr>
        <w:trPr>
          <w:trHeight w:val="59"/>
        </w:trPr>
        <w:tc>
          <w:tcPr>
            <w:tcW w:w="2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80" w:type="dxa"/>
            <w:vAlign w:val="bottom"/>
            <w:tcBorders>
              <w:bottom w:val="single" w:sz="8" w:color="auto"/>
            </w:tcBorders>
            <w:gridSpan w:val="2"/>
          </w:tcPr>
          <w:p>
            <w:pPr>
              <w:spacing w:after="0"/>
              <w:rPr>
                <w:sz w:val="5"/>
                <w:szCs w:val="5"/>
                <w:color w:val="auto"/>
              </w:rPr>
            </w:pPr>
          </w:p>
        </w:tc>
        <w:tc>
          <w:tcPr>
            <w:tcW w:w="3300" w:type="dxa"/>
            <w:vAlign w:val="bottom"/>
          </w:tcPr>
          <w:p>
            <w:pPr>
              <w:spacing w:after="0"/>
              <w:rPr>
                <w:sz w:val="5"/>
                <w:szCs w:val="5"/>
                <w:color w:val="auto"/>
              </w:rPr>
            </w:pPr>
          </w:p>
        </w:tc>
      </w:tr>
      <w:tr>
        <w:trPr>
          <w:trHeight w:val="484"/>
        </w:trPr>
        <w:tc>
          <w:tcPr>
            <w:tcW w:w="2460" w:type="dxa"/>
            <w:vAlign w:val="bottom"/>
          </w:tcPr>
          <w:p>
            <w:pPr>
              <w:spacing w:after="0"/>
              <w:rPr>
                <w:sz w:val="24"/>
                <w:szCs w:val="24"/>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42"/>
                <w:szCs w:val="42"/>
                <w:b w:val="1"/>
                <w:bCs w:val="1"/>
                <w:color w:val="auto"/>
                <w:w w:val="99"/>
              </w:rPr>
              <w:t>KVH Industries, Inc.</w:t>
            </w:r>
          </w:p>
        </w:tc>
      </w:tr>
      <w:tr>
        <w:trPr>
          <w:trHeight w:val="230"/>
        </w:trPr>
        <w:tc>
          <w:tcPr>
            <w:tcW w:w="2460" w:type="dxa"/>
            <w:vAlign w:val="bottom"/>
          </w:tcPr>
          <w:p>
            <w:pPr>
              <w:spacing w:after="0"/>
              <w:rPr>
                <w:sz w:val="19"/>
                <w:szCs w:val="19"/>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53"/>
        </w:trPr>
        <w:tc>
          <w:tcPr>
            <w:tcW w:w="2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300" w:type="dxa"/>
            <w:vAlign w:val="bottom"/>
          </w:tcPr>
          <w:p>
            <w:pPr>
              <w:spacing w:after="0"/>
              <w:rPr>
                <w:sz w:val="4"/>
                <w:szCs w:val="4"/>
                <w:color w:val="auto"/>
              </w:rPr>
            </w:pPr>
          </w:p>
        </w:tc>
      </w:tr>
      <w:tr>
        <w:trPr>
          <w:trHeight w:val="297"/>
        </w:trPr>
        <w:tc>
          <w:tcPr>
            <w:tcW w:w="24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gridSpan w:val="2"/>
          </w:tcPr>
          <w:p>
            <w:pPr>
              <w:jc w:val="right"/>
              <w:ind w:right="1750"/>
              <w:spacing w:after="0"/>
              <w:rPr>
                <w:sz w:val="20"/>
                <w:szCs w:val="20"/>
                <w:color w:val="auto"/>
              </w:rPr>
            </w:pPr>
            <w:r>
              <w:rPr>
                <w:rFonts w:ascii="Times New Roman" w:cs="Times New Roman" w:eastAsia="Times New Roman" w:hAnsi="Times New Roman"/>
                <w:sz w:val="14"/>
                <w:szCs w:val="14"/>
                <w:b w:val="1"/>
                <w:bCs w:val="1"/>
                <w:color w:val="auto"/>
              </w:rPr>
              <w:t>05-0420589</w:t>
            </w:r>
          </w:p>
        </w:tc>
      </w:tr>
      <w:tr>
        <w:trPr>
          <w:trHeight w:val="19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740" w:type="dxa"/>
            <w:vAlign w:val="bottom"/>
          </w:tcPr>
          <w:p>
            <w:pPr>
              <w:spacing w:after="0"/>
              <w:rPr>
                <w:sz w:val="17"/>
                <w:szCs w:val="17"/>
                <w:color w:val="auto"/>
              </w:rPr>
            </w:pPr>
          </w:p>
        </w:tc>
        <w:tc>
          <w:tcPr>
            <w:tcW w:w="3300" w:type="dxa"/>
            <w:vAlign w:val="bottom"/>
          </w:tcPr>
          <w:p>
            <w:pPr>
              <w:jc w:val="center"/>
              <w:ind w:right="950"/>
              <w:spacing w:after="0"/>
              <w:rPr>
                <w:sz w:val="20"/>
                <w:szCs w:val="20"/>
                <w:color w:val="auto"/>
              </w:rPr>
            </w:pPr>
            <w:r>
              <w:rPr>
                <w:rFonts w:ascii="Times New Roman" w:cs="Times New Roman" w:eastAsia="Times New Roman" w:hAnsi="Times New Roman"/>
                <w:sz w:val="14"/>
                <w:szCs w:val="14"/>
                <w:i w:val="1"/>
                <w:iCs w:val="1"/>
                <w:color w:val="auto"/>
                <w:w w:val="99"/>
              </w:rPr>
              <w:t>(I.R.S. Employer Identification Number)</w:t>
            </w:r>
          </w:p>
        </w:tc>
      </w:tr>
      <w:tr>
        <w:trPr>
          <w:trHeight w:val="248"/>
        </w:trPr>
        <w:tc>
          <w:tcPr>
            <w:tcW w:w="2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580" w:type="dxa"/>
            <w:vAlign w:val="bottom"/>
            <w:gridSpan w:val="3"/>
          </w:tcPr>
          <w:p>
            <w:pPr>
              <w:jc w:val="center"/>
              <w:ind w:right="3230"/>
              <w:spacing w:after="0"/>
              <w:rPr>
                <w:sz w:val="20"/>
                <w:szCs w:val="20"/>
                <w:color w:val="auto"/>
              </w:rPr>
            </w:pPr>
            <w:r>
              <w:rPr>
                <w:rFonts w:ascii="Times New Roman" w:cs="Times New Roman" w:eastAsia="Times New Roman" w:hAnsi="Times New Roman"/>
                <w:sz w:val="14"/>
                <w:szCs w:val="14"/>
                <w:b w:val="1"/>
                <w:bCs w:val="1"/>
                <w:color w:val="auto"/>
                <w:w w:val="99"/>
              </w:rPr>
              <w:t>75 Enterprise Center, Middletown, RI 02842</w:t>
            </w:r>
          </w:p>
        </w:tc>
      </w:tr>
      <w:tr>
        <w:trPr>
          <w:trHeight w:val="157"/>
        </w:trPr>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80" w:type="dxa"/>
            <w:vAlign w:val="bottom"/>
            <w:gridSpan w:val="3"/>
          </w:tcPr>
          <w:p>
            <w:pPr>
              <w:jc w:val="center"/>
              <w:ind w:right="3210"/>
              <w:spacing w:after="0" w:line="157" w:lineRule="exact"/>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r>
      <w:tr>
        <w:trPr>
          <w:trHeight w:val="172"/>
        </w:trPr>
        <w:tc>
          <w:tcPr>
            <w:tcW w:w="2460" w:type="dxa"/>
            <w:vAlign w:val="bottom"/>
          </w:tcPr>
          <w:p>
            <w:pPr>
              <w:spacing w:after="0"/>
              <w:rPr>
                <w:sz w:val="14"/>
                <w:szCs w:val="14"/>
                <w:color w:val="auto"/>
              </w:rPr>
            </w:pPr>
          </w:p>
        </w:tc>
        <w:tc>
          <w:tcPr>
            <w:tcW w:w="3020" w:type="dxa"/>
            <w:vAlign w:val="bottom"/>
            <w:gridSpan w:val="2"/>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r>
      <w:tr>
        <w:trPr>
          <w:trHeight w:val="89"/>
        </w:trPr>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80" w:type="dxa"/>
            <w:vAlign w:val="bottom"/>
            <w:tcBorders>
              <w:bottom w:val="single" w:sz="8" w:color="auto"/>
            </w:tcBorders>
            <w:gridSpan w:val="2"/>
          </w:tcPr>
          <w:p>
            <w:pPr>
              <w:spacing w:after="0"/>
              <w:rPr>
                <w:sz w:val="7"/>
                <w:szCs w:val="7"/>
                <w:color w:val="auto"/>
              </w:rPr>
            </w:pPr>
          </w:p>
        </w:tc>
        <w:tc>
          <w:tcPr>
            <w:tcW w:w="3300" w:type="dxa"/>
            <w:vAlign w:val="bottom"/>
          </w:tcPr>
          <w:p>
            <w:pPr>
              <w:spacing w:after="0"/>
              <w:rPr>
                <w:sz w:val="7"/>
                <w:szCs w:val="7"/>
                <w:color w:val="auto"/>
              </w:rPr>
            </w:pPr>
          </w:p>
        </w:tc>
      </w:tr>
      <w:tr>
        <w:trPr>
          <w:trHeight w:val="270"/>
        </w:trPr>
        <w:tc>
          <w:tcPr>
            <w:tcW w:w="2460" w:type="dxa"/>
            <w:vAlign w:val="bottom"/>
          </w:tcPr>
          <w:p>
            <w:pPr>
              <w:spacing w:after="0"/>
              <w:rPr>
                <w:sz w:val="23"/>
                <w:szCs w:val="23"/>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tc>
      </w:tr>
      <w:tr>
        <w:trPr>
          <w:trHeight w:val="184"/>
        </w:trPr>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6"/>
                <w:szCs w:val="16"/>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740" w:type="dxa"/>
            <w:vAlign w:val="bottom"/>
          </w:tcPr>
          <w:p>
            <w:pPr>
              <w:spacing w:after="0"/>
              <w:rPr>
                <w:sz w:val="16"/>
                <w:szCs w:val="16"/>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6"/>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80" w:type="dxa"/>
            <w:vAlign w:val="bottom"/>
          </w:tcPr>
          <w:p>
            <w:pPr>
              <w:spacing w:after="0"/>
              <w:rPr>
                <w:sz w:val="20"/>
                <w:szCs w:val="20"/>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color w:val="auto"/>
                <w:w w:val="97"/>
              </w:rPr>
              <w:t>KVHI</w:t>
            </w:r>
          </w:p>
        </w:tc>
        <w:tc>
          <w:tcPr>
            <w:tcW w:w="740" w:type="dxa"/>
            <w:vAlign w:val="bottom"/>
          </w:tcPr>
          <w:p>
            <w:pPr>
              <w:spacing w:after="0"/>
              <w:rPr>
                <w:sz w:val="20"/>
                <w:szCs w:val="20"/>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color w:val="auto"/>
                <w:w w:val="99"/>
              </w:rPr>
              <w:t>(Nasdaq Global Select Market)</w:t>
            </w:r>
          </w:p>
        </w:tc>
      </w:tr>
    </w:tbl>
    <w:p>
      <w:pPr>
        <w:spacing w:after="0" w:line="200" w:lineRule="exact"/>
        <w:rPr>
          <w:sz w:val="24"/>
          <w:szCs w:val="24"/>
          <w:color w:val="auto"/>
        </w:rPr>
      </w:pPr>
    </w:p>
    <w:p>
      <w:pPr>
        <w:spacing w:after="0" w:line="368"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tabs>
          <w:tab w:leader="none" w:pos="1320" w:val="left"/>
        </w:tabs>
        <w:rPr>
          <w:sz w:val="20"/>
          <w:szCs w:val="20"/>
          <w:color w:val="auto"/>
        </w:rPr>
      </w:pPr>
      <w:r>
        <w:rPr>
          <w:rFonts w:ascii="Times New Roman" w:cs="Times New Roman" w:eastAsia="Times New Roman" w:hAnsi="Times New Roman"/>
          <w:sz w:val="17"/>
          <w:szCs w:val="17"/>
          <w:color w:val="auto"/>
        </w:rPr>
        <w:t>the past 90 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60" w:val="left"/>
          <w:tab w:leader="none" w:pos="1180" w:val="left"/>
        </w:tabs>
        <w:rPr>
          <w:sz w:val="20"/>
          <w:szCs w:val="20"/>
          <w:color w:val="auto"/>
        </w:rPr>
      </w:pPr>
      <w:r>
        <w:rPr>
          <w:rFonts w:ascii="Times New Roman" w:cs="Times New Roman" w:eastAsia="Times New Roman" w:hAnsi="Times New Roman"/>
          <w:sz w:val="17"/>
          <w:szCs w:val="17"/>
          <w:color w:val="auto"/>
        </w:rPr>
        <w:t>files).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tbl>
      <w:tblPr>
        <w:tblLayout w:type="fixed"/>
        <w:tblInd w:w="20" w:type="dxa"/>
        <w:tblCellMar>
          <w:top w:w="0" w:type="dxa"/>
          <w:left w:w="0" w:type="dxa"/>
          <w:bottom w:w="0" w:type="dxa"/>
          <w:right w:w="0" w:type="dxa"/>
        </w:tblCellMar>
      </w:tblPr>
      <w:tr>
        <w:trPr>
          <w:trHeight w:val="191"/>
        </w:trPr>
        <w:tc>
          <w:tcPr>
            <w:tcW w:w="1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Large 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line="191" w:lineRule="exact"/>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1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line="196" w:lineRule="exact"/>
        <w:tabs>
          <w:tab w:leader="none" w:pos="808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6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320" w:type="dxa"/>
            <w:vAlign w:val="bottom"/>
          </w:tcPr>
          <w:p>
            <w:pPr>
              <w:spacing w:after="0"/>
              <w:rPr>
                <w:sz w:val="13"/>
                <w:szCs w:val="13"/>
                <w:color w:val="auto"/>
              </w:rPr>
            </w:pPr>
          </w:p>
        </w:tc>
        <w:tc>
          <w:tcPr>
            <w:tcW w:w="3560" w:type="dxa"/>
            <w:vAlign w:val="bottom"/>
            <w:gridSpan w:val="2"/>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312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color w:val="auto"/>
              </w:rPr>
              <w:t>May 5, 2025</w:t>
            </w:r>
          </w:p>
        </w:tc>
        <w:tc>
          <w:tcPr>
            <w:tcW w:w="5880" w:type="dxa"/>
            <w:vAlign w:val="bottom"/>
            <w:gridSpan w:val="3"/>
          </w:tcPr>
          <w:p>
            <w:pPr>
              <w:jc w:val="center"/>
              <w:ind w:right="90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19,599,461</w:t>
            </w:r>
          </w:p>
        </w:tc>
        <w:tc>
          <w:tcPr>
            <w:tcW w:w="1080" w:type="dxa"/>
            <w:vAlign w:val="bottom"/>
          </w:tcPr>
          <w:p>
            <w:pPr>
              <w:spacing w:after="0"/>
              <w:rPr>
                <w:sz w:val="22"/>
                <w:szCs w:val="22"/>
                <w:color w:val="auto"/>
              </w:rPr>
            </w:pPr>
          </w:p>
        </w:tc>
      </w:tr>
      <w:tr>
        <w:trPr>
          <w:trHeight w:val="1002"/>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60" w:type="dxa"/>
            <w:vAlign w:val="bottom"/>
            <w:gridSpan w:val="11"/>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80" w:type="dxa"/>
            <w:vAlign w:val="bottom"/>
            <w:gridSpan w:val="7"/>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9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160" w:type="dxa"/>
            <w:vAlign w:val="bottom"/>
            <w:gridSpan w:val="12"/>
            <w:vMerge w:val="restart"/>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Page No.</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7"/>
                <w:szCs w:val="17"/>
                <w:color w:val="auto"/>
              </w:rPr>
            </w:pPr>
          </w:p>
        </w:tc>
        <w:tc>
          <w:tcPr>
            <w:tcW w:w="2980" w:type="dxa"/>
            <w:vAlign w:val="bottom"/>
            <w:tcBorders>
              <w:bottom w:val="single" w:sz="8" w:color="0000FF"/>
            </w:tcBorders>
            <w:gridSpan w:val="5"/>
            <w:vMerge w:val="continue"/>
          </w:tcPr>
          <w:p>
            <w:pPr>
              <w:spacing w:after="0"/>
              <w:rPr>
                <w:sz w:val="17"/>
                <w:szCs w:val="17"/>
                <w:color w:val="auto"/>
              </w:rPr>
            </w:pPr>
          </w:p>
        </w:tc>
        <w:tc>
          <w:tcPr>
            <w:tcW w:w="7160" w:type="dxa"/>
            <w:vAlign w:val="bottom"/>
            <w:gridSpan w:val="12"/>
            <w:vMerge w:val="continue"/>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INTERIM FINANCIAL STATEMENTS</w:t>
            </w:r>
          </w:p>
        </w:tc>
        <w:tc>
          <w:tcPr>
            <w:tcW w:w="62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Consolidated Balance Sheets as of March 31, 2025 (unaudited) and December 31, 2024</w:t>
            </w:r>
          </w:p>
        </w:tc>
        <w:tc>
          <w:tcPr>
            <w:tcW w:w="296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three months ended March 31, 2025 and 2024 (unaudited)</w:t>
            </w:r>
          </w:p>
        </w:tc>
        <w:tc>
          <w:tcPr>
            <w:tcW w:w="174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 xml:space="preserve">Consolidated Statements of Comprehensive </w:t>
            </w:r>
            <w:r>
              <w:rPr>
                <w:rFonts w:ascii="Times New Roman" w:cs="Times New Roman" w:eastAsia="Times New Roman" w:hAnsi="Times New Roman"/>
                <w:sz w:val="17"/>
                <w:szCs w:val="17"/>
                <w:color w:val="0E32E1"/>
              </w:rPr>
              <w:t>Loss</w:t>
            </w:r>
            <w:r>
              <w:rPr>
                <w:rFonts w:ascii="Times New Roman" w:cs="Times New Roman" w:eastAsia="Times New Roman" w:hAnsi="Times New Roman"/>
                <w:sz w:val="17"/>
                <w:szCs w:val="17"/>
                <w:color w:val="0000FF"/>
              </w:rPr>
              <w:t xml:space="preserve"> for the three months ended March 31, 2025 and 2024 (unaudited)</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months ended March 31, 2025 and 2024 (unaudited)</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three months ended March 31, 2025 and 2024 (unaudited)</w:t>
            </w:r>
          </w:p>
        </w:tc>
        <w:tc>
          <w:tcPr>
            <w:tcW w:w="10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 (unaudited)</w:t>
            </w:r>
          </w:p>
        </w:tc>
        <w:tc>
          <w:tcPr>
            <w:tcW w:w="17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86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80" w:type="dxa"/>
            <w:vAlign w:val="bottom"/>
            <w:gridSpan w:val="8"/>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0000FF"/>
              </w:rPr>
              <w:t>EXHIBITS</w:t>
            </w:r>
          </w:p>
        </w:tc>
        <w:tc>
          <w:tcPr>
            <w:tcW w:w="5080" w:type="dxa"/>
            <w:vAlign w:val="bottom"/>
            <w:gridSpan w:val="8"/>
          </w:tcPr>
          <w:p>
            <w:pPr>
              <w:spacing w:after="0"/>
              <w:rPr>
                <w:sz w:val="17"/>
                <w:szCs w:val="17"/>
                <w:color w:val="auto"/>
              </w:rPr>
            </w:pPr>
          </w:p>
        </w:tc>
        <w:tc>
          <w:tcPr>
            <w:tcW w:w="3200" w:type="dxa"/>
            <w:vAlign w:val="bottom"/>
            <w:gridSpan w:val="6"/>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6"/>
        </w:trPr>
        <w:tc>
          <w:tcPr>
            <w:tcW w:w="16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9"/>
          </w:tcPr>
          <w:p>
            <w:pPr>
              <w:jc w:val="center"/>
              <w:ind w:left="2833"/>
              <w:spacing w:after="0"/>
              <w:rPr>
                <w:sz w:val="20"/>
                <w:szCs w:val="20"/>
                <w:color w:val="auto"/>
              </w:rPr>
            </w:pPr>
            <w:r>
              <w:rPr>
                <w:rFonts w:ascii="Times New Roman" w:cs="Times New Roman" w:eastAsia="Times New Roman" w:hAnsi="Times New Roman"/>
                <w:sz w:val="17"/>
                <w:szCs w:val="17"/>
                <w:color w:val="auto"/>
                <w:w w:val="93"/>
              </w:rPr>
              <w:t>2</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$1,018 and $1,006 as of March 31, 2025 and December 31, 2024, respectively</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121,579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122,575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151,434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airtime</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13,623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16,456</w:t>
            </w:r>
          </w:p>
        </w:tc>
        <w:tc>
          <w:tcPr>
            <w:tcW w:w="0" w:type="dxa"/>
            <w:vAlign w:val="bottom"/>
          </w:tcPr>
          <w:p>
            <w:pPr>
              <w:spacing w:after="0"/>
              <w:rPr>
                <w:sz w:val="1"/>
                <w:szCs w:val="1"/>
                <w:color w:val="auto"/>
              </w:rPr>
            </w:pPr>
          </w:p>
        </w:tc>
      </w:t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11, and 16)</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18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Common stock, $0.01 par value. Authorized 30,000,000 shares; 21,220,157 and 21,240,525 shares issued at March 31, 2025 and</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80" w:type="dxa"/>
            <w:vAlign w:val="bottom"/>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December 31, 2024, respectively; and 19,733,230 and 19,784,416 shares outstanding at March 31, 2025 and December 31, 2024,</w:t>
            </w:r>
          </w:p>
        </w:tc>
        <w:tc>
          <w:tcPr>
            <w:tcW w:w="1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3"/>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167,287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(12,752)</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150,715</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treasury stock at cost, common stock, 1,486,927 and 1,456,109 shares as of March 31, 2025 and December 31, 2024, respectively.</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137,811</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151,434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6"/>
                <w:szCs w:val="16"/>
                <w:color w:val="auto"/>
              </w:rPr>
            </w:pPr>
          </w:p>
        </w:tc>
      </w:tr>
      <w:tr>
        <w:trPr>
          <w:trHeight w:val="196"/>
        </w:trPr>
        <w:tc>
          <w:tcPr>
            <w:tcW w:w="8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0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21,642</w:t>
            </w:r>
          </w:p>
        </w:tc>
        <w:tc>
          <w:tcPr>
            <w:tcW w:w="120" w:type="dxa"/>
            <w:vAlign w:val="bottom"/>
          </w:tcPr>
          <w:p>
            <w:pPr>
              <w:spacing w:after="0"/>
              <w:rPr>
                <w:sz w:val="19"/>
                <w:szCs w:val="19"/>
                <w:color w:val="auto"/>
              </w:rPr>
            </w:pP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r>
      <w:tr>
        <w:trPr>
          <w:trHeight w:val="22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r>
      <w:tr>
        <w:trPr>
          <w:trHeight w:val="216"/>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25,414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29,267</w:t>
            </w: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3"/>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14,044</w:t>
            </w:r>
          </w:p>
        </w:tc>
      </w:tr>
      <w:tr>
        <w:trPr>
          <w:trHeight w:val="22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w:t>
            </w:r>
          </w:p>
        </w:tc>
      </w:tr>
      <w:tr>
        <w:trPr>
          <w:trHeight w:val="223"/>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w:t>
            </w:r>
          </w:p>
        </w:tc>
      </w:tr>
      <w:tr>
        <w:trPr>
          <w:trHeight w:val="22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5,384</w:t>
            </w:r>
          </w:p>
        </w:tc>
      </w:tr>
      <w:tr>
        <w:trPr>
          <w:trHeight w:val="223"/>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5,291</w:t>
            </w:r>
          </w:p>
        </w:tc>
      </w:tr>
      <w:tr>
        <w:trPr>
          <w:trHeight w:val="216"/>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27,657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33,065</w:t>
            </w:r>
          </w:p>
        </w:tc>
      </w:tr>
      <w:tr>
        <w:trPr>
          <w:trHeight w:val="216"/>
        </w:trPr>
        <w:tc>
          <w:tcPr>
            <w:tcW w:w="80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(3,798)</w:t>
            </w:r>
          </w:p>
        </w:tc>
      </w:tr>
      <w:tr>
        <w:trPr>
          <w:trHeight w:val="22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r>
      <w:tr>
        <w:trPr>
          <w:trHeight w:val="223"/>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16"/>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r>
      <w:tr>
        <w:trPr>
          <w:trHeight w:val="22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41"/>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(1,710)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(3,163)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common share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8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80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19,492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19,286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0"/>
        </w:trPr>
        <w:tc>
          <w:tcPr>
            <w:tcW w:w="8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9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19,492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19,286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744" w:right="41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80" w:type="dxa"/>
            <w:vAlign w:val="bottom"/>
          </w:tcPr>
          <w:p>
            <w:pPr>
              <w:spacing w:after="0"/>
              <w:rPr>
                <w:sz w:val="16"/>
                <w:szCs w:val="16"/>
                <w:color w:val="auto"/>
              </w:rPr>
            </w:pPr>
          </w:p>
        </w:tc>
      </w:tr>
      <w:tr>
        <w:trPr>
          <w:trHeight w:val="196"/>
        </w:trPr>
        <w:tc>
          <w:tcPr>
            <w:tcW w:w="8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0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net of tax:</w:t>
            </w: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16"/>
        </w:trPr>
        <w:tc>
          <w:tcPr>
            <w:tcW w:w="80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net of tax</w:t>
            </w:r>
            <w:r>
              <w:rPr>
                <w:rFonts w:ascii="Times New Roman" w:cs="Times New Roman" w:eastAsia="Times New Roman" w:hAnsi="Times New Roman"/>
                <w:sz w:val="22"/>
                <w:szCs w:val="22"/>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41"/>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744" w:right="41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3"/>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21,241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167,287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(12,752)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167,624</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(14,462)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(3,310)</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(12,253)</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137,811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center"/>
              <w:ind w:right="93"/>
              <w:spacing w:after="0" w:line="124"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(4,867)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145,067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226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20" w:type="dxa"/>
            <w:vAlign w:val="bottom"/>
          </w:tcPr>
          <w:p>
            <w:pPr>
              <w:spacing w:after="0"/>
              <w:rPr>
                <w:sz w:val="18"/>
                <w:szCs w:val="18"/>
                <w:color w:val="auto"/>
              </w:rPr>
            </w:pPr>
          </w:p>
        </w:tc>
        <w:tc>
          <w:tcPr>
            <w:tcW w:w="820" w:type="dxa"/>
            <w:vAlign w:val="bottom"/>
          </w:tcPr>
          <w:p>
            <w:pPr>
              <w:jc w:val="right"/>
              <w:ind w:right="66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(3,163)</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3,247</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loss on disposals of fixed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Unrealized currency translation loss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8"/>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2,184</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revenue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(5,025)</w:t>
            </w:r>
          </w:p>
        </w:tc>
        <w:tc>
          <w:tcPr>
            <w:tcW w:w="0" w:type="dxa"/>
            <w:vAlign w:val="bottom"/>
          </w:tcPr>
          <w:p>
            <w:pPr>
              <w:spacing w:after="0"/>
              <w:rPr>
                <w:sz w:val="1"/>
                <w:szCs w:val="1"/>
                <w:color w:val="auto"/>
              </w:rPr>
            </w:pPr>
          </w:p>
        </w:tc>
      </w:tr>
      <w:tr>
        <w:trPr>
          <w:trHeight w:val="202"/>
        </w:trPr>
        <w:tc>
          <w:tcPr>
            <w:tcW w:w="8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(1,277)</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(792)</w:t>
            </w:r>
          </w:p>
        </w:tc>
        <w:tc>
          <w:tcPr>
            <w:tcW w:w="0" w:type="dxa"/>
            <w:vAlign w:val="bottom"/>
          </w:tcPr>
          <w:p>
            <w:pPr>
              <w:spacing w:after="0"/>
              <w:rPr>
                <w:sz w:val="1"/>
                <w:szCs w:val="1"/>
                <w:color w:val="auto"/>
              </w:rPr>
            </w:pPr>
          </w:p>
        </w:tc>
      </w:tr>
      <w:tr>
        <w:trPr>
          <w:trHeight w:val="19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(2,399)</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8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04"/>
        </w:trPr>
        <w:tc>
          <w:tcPr>
            <w:tcW w:w="842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800" w:type="dxa"/>
            <w:vAlign w:val="bottom"/>
            <w:tcBorders>
              <w:top w:val="single" w:sz="8" w:color="auto"/>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871</w:t>
            </w:r>
          </w:p>
        </w:tc>
        <w:tc>
          <w:tcPr>
            <w:tcW w:w="0" w:type="dxa"/>
            <w:vAlign w:val="bottom"/>
          </w:tcPr>
          <w:p>
            <w:pPr>
              <w:spacing w:after="0"/>
              <w:rPr>
                <w:sz w:val="1"/>
                <w:szCs w:val="1"/>
                <w:color w:val="auto"/>
              </w:rPr>
            </w:pPr>
          </w:p>
        </w:tc>
      </w:tr>
      <w:tr>
        <w:trPr>
          <w:trHeight w:val="189"/>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8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96</w:t>
            </w:r>
          </w:p>
        </w:tc>
        <w:tc>
          <w:tcPr>
            <w:tcW w:w="0" w:type="dxa"/>
            <w:vAlign w:val="bottom"/>
          </w:tcPr>
          <w:p>
            <w:pPr>
              <w:spacing w:after="0"/>
              <w:rPr>
                <w:sz w:val="1"/>
                <w:szCs w:val="1"/>
                <w:color w:val="auto"/>
              </w:rPr>
            </w:pPr>
          </w:p>
        </w:tc>
      </w:tr>
      <w:tr>
        <w:trPr>
          <w:trHeight w:val="201"/>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w:t>
            </w: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50,572</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5"/>
              </w:rPr>
              <w:t>11,294</w:t>
            </w:r>
          </w:p>
        </w:tc>
        <w:tc>
          <w:tcPr>
            <w:tcW w:w="0" w:type="dxa"/>
            <w:vAlign w:val="bottom"/>
          </w:tcPr>
          <w:p>
            <w:pPr>
              <w:spacing w:after="0"/>
              <w:rPr>
                <w:sz w:val="1"/>
                <w:szCs w:val="1"/>
                <w:color w:val="auto"/>
              </w:rPr>
            </w:pPr>
          </w:p>
        </w:tc>
      </w:tr>
      <w:tr>
        <w:trPr>
          <w:trHeight w:val="228"/>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8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48,600</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5"/>
              </w:rPr>
              <w:t>11,441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4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Amounts in accrued other and accounts payable related to property and equipment additions</w:t>
            </w:r>
          </w:p>
        </w:tc>
        <w:tc>
          <w:tcPr>
            <w:tcW w:w="8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all amounts in thousands except per share amounts)</w:t>
      </w: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w:t>
        <w:tab/>
        <w:t>Description of Business</w:t>
      </w:r>
    </w:p>
    <w:p>
      <w:pPr>
        <w:spacing w:after="0" w:line="239"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KVH Industries, Inc. (together with its subsidiaries, the Company or KVH) designs, develops, manufactures and markets mobile connectivity services and products for the marine and land markets.</w:t>
      </w:r>
    </w:p>
    <w:p>
      <w:pPr>
        <w:spacing w:after="0" w:line="186"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KVH’s service sales primarily represent revenue earned from satellite Internet airtime services. KVH provides, for monthly fixed and per-usage fees, satellite connectivity encompassing broadband Internet and Voice over Internet Protocol (VoIP) services, to its TracNet® H-series and TracPhone® V-HTS series customers via KVH’s global high-throughput satellite (HTS) network. Revenue from our cellular airtime service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In March 2023, KVH began selling terminals for the Starlink Low Earth Orbit (LEO) service and in September 2023 became a Starlink authorized hardware and airtime reseller. The May 2023 introduction of the KVH ONE OpenNet Program expanded access to KVH’s global HTS network and airtime services to non-KVH terminals for the first time. KVH further expanded its LEO service and hardware portfolio in January 2025 with the launch of OneWeb service for maritime applications.</w:t>
      </w:r>
    </w:p>
    <w:p>
      <w:pPr>
        <w:spacing w:after="0" w:line="19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AgilePlans, KVH’s connectivity as a service offering, is a monthly subscription model that provides global connectivity to commercial maritime customers. The subscription can include KVH VSAT terminals and data service, Starlink and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that the Company offers to customers who elect to purchase or lease a TracNet H-series, TracPhone V-HTS series, Starlink, or OneWeb terminal.</w:t>
      </w:r>
    </w:p>
    <w:p>
      <w:pPr>
        <w:spacing w:after="0" w:line="19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KVH’s satellite-only and hybrid products enable marine customers to receive data,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KVH’s marine leisure business is highly seasonal.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8" w:name="page9"/>
    <w:bookmarkEnd w:id="8"/>
    <w:p>
      <w:pPr>
        <w:jc w:val="both"/>
        <w:spacing w:after="0" w:line="276" w:lineRule="auto"/>
        <w:rPr>
          <w:sz w:val="20"/>
          <w:szCs w:val="20"/>
          <w:color w:val="auto"/>
        </w:rPr>
      </w:pPr>
      <w:r>
        <w:rPr>
          <w:rFonts w:ascii="Times New Roman" w:cs="Times New Roman" w:eastAsia="Times New Roman" w:hAnsi="Times New Roman"/>
          <w:sz w:val="17"/>
          <w:szCs w:val="17"/>
          <w:color w:val="auto"/>
        </w:rPr>
        <w:t>demand and that it will cease substantially all manufacturing activity by the end of 2025. The Company expects to continue to facilitate customer transition to third-party hardware products compatible with its mobile satellite communications services. Please see Note 17 for additional details surrounding the wind-down of the Company's manufacturing activities.</w:t>
      </w:r>
    </w:p>
    <w:p>
      <w:pPr>
        <w:spacing w:after="0" w:line="188" w:lineRule="exact"/>
        <w:rPr>
          <w:sz w:val="20"/>
          <w:szCs w:val="20"/>
          <w:color w:val="auto"/>
        </w:rPr>
      </w:pPr>
    </w:p>
    <w:p>
      <w:pPr>
        <w:ind w:left="420" w:hanging="415"/>
        <w:spacing w:after="0"/>
        <w:tabs>
          <w:tab w:leader="none" w:pos="4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2024 filed on March 10, 2025 with the Securities and Exchange Commission. The results for the three months ended March 31, 2025 are not necessarily indicative of operating results for the remainder of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estimated fair values of long-lived assets (including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Held for Sale</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carrying amount or fair value less costs to sell. Any loss resulting from this measurement is recognized in the period in which the held for sale criteria are met. Conversely, gains are not recognized until the date of sale. The Company assesses the fair value of an asset less costs to sell for each reporting period that it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Denmark, Singapore, Brazil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losses, which are comprised of both realized and unrealized foreign currency exchange gains and losses, in its accompanying consolidated statements of operations of $(31) and $(21) for the three months ended March 31, 2025 and 2024, respectively.</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194" w:lineRule="exact"/>
        <w:rPr>
          <w:sz w:val="20"/>
          <w:szCs w:val="20"/>
          <w:color w:val="auto"/>
        </w:rPr>
      </w:pPr>
    </w:p>
    <w:p>
      <w:pPr>
        <w:ind w:left="420" w:hanging="415"/>
        <w:spacing w:after="0"/>
        <w:tabs>
          <w:tab w:leader="none" w:pos="4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Standards and Accounting Standards Not yet Adopted</w:t>
      </w:r>
    </w:p>
    <w:p>
      <w:pPr>
        <w:spacing w:after="0" w:line="25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No. 2023-09, Income Taxes (Topic 740): Improvements to Income Tax Disclosures. The amendments in this ASU apply to all entities that are subject to Topic 740, Income Taxes. The amendments require public business entities to disclose specific categories in their tax rate reconciliation and provide additional information for reconciling items that meet a quantitative threshold. These amendments also require all entities to disclose income taxes paid, net of refunds received, disaggregated by federal, state, and foreign taxes and by individual jurisdictions in which income taxes paid, net of refunds received, are equal to or greater than five percent of total income taxes paid. For public business entities, the amendments in this ASU are effective for annual periods beginning after December 15, 2024. The amendments in this ASU should be applied on a prospective basis. The adoption of ASU No. 2023-09 is not expected to have a material impact on the Company’s financial statements, including disclosures.</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There are no other recent accounting pronouncements that have been issued by the FASB that are not yet effective and that the Company expects would have a material impact on the Company’s financial statements, including disclosures.</w:t>
      </w:r>
    </w:p>
    <w:p>
      <w:pPr>
        <w:spacing w:after="0" w:line="200" w:lineRule="exact"/>
        <w:rPr>
          <w:sz w:val="20"/>
          <w:szCs w:val="20"/>
          <w:color w:val="auto"/>
        </w:rPr>
      </w:pPr>
    </w:p>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w:t>
        <w:tab/>
        <w:t>Marketable Securities</w:t>
      </w:r>
    </w:p>
    <w:p>
      <w:pPr>
        <w:spacing w:after="0" w:line="200" w:lineRule="exact"/>
        <w:rPr>
          <w:sz w:val="20"/>
          <w:szCs w:val="20"/>
          <w:color w:val="auto"/>
        </w:rPr>
      </w:pPr>
    </w:p>
    <w:p>
      <w:pPr>
        <w:spacing w:after="0" w:line="209"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In the fourth quarter of 2024, the balance of our marketable securities held by Wells Fargo was liquidated and transferred to an interest-bearing account held by Bank of America, N.A. Interest income from marketable securities was $0 and $720 during the three months ended March 31, 2025 and 2024, respectively.</w:t>
      </w:r>
    </w:p>
    <w:p>
      <w:pPr>
        <w:spacing w:after="0" w:line="3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held no marketable securities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0" w:name="page11"/>
    <w:bookmarkEnd w:id="10"/>
    <w:p>
      <w:pPr>
        <w:ind w:left="420" w:hanging="415"/>
        <w:spacing w:after="0"/>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00" w:lineRule="exact"/>
        <w:rPr>
          <w:sz w:val="20"/>
          <w:szCs w:val="20"/>
          <w:color w:val="auto"/>
        </w:rPr>
      </w:pP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 Stock Equity and Incentive Plan</w:t>
      </w:r>
    </w:p>
    <w:p>
      <w:pPr>
        <w:spacing w:after="0" w:line="17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The Company recognizes stock-based compensation in accordance with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Stock-based compensation expense was $335 and $517, excluding $2 and $5 of compensation shares related to the employee stock purchase plan (ESPP), for the three months ended March 31, 2025 and 2024, respectively. As of March 31, 2025, there was $2,005 of total unrecognized compensation expense related to stock options, which is expected to be recognized over a weighted-average period of 3.20 years. As of March 31, 2025, there was $1,227 of total unrecognized compensation expense related to restricted stock awards, which is expected to be recognized over a weighted-average period of 1.83 years.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three months ended March 31, 2025, the Company issued less than 1 shares of common stock upon the exercise of stock options. Additionally, during the three months ended March 31, 2025, 525 stock options were granted and 63 stock options expired, were canceled or were forfeited. During the three months ended March 31, 2024, no shares of common stock were issued upon the exercise of stock options. Additionally, during the three months ended March 31, 2024, 266 stock options were granted and 14 stock options expired, were canceled or were forfeited. The Company has historically estimated the fair value of each option grant on the date of grant using the Black-Scholes option-pricing model. The weighted average assumptions utilized to determine the fair value of options granted during the three months ended March 31, 2025 and 2024 are as follows:</w:t>
      </w:r>
    </w:p>
    <w:p>
      <w:pPr>
        <w:spacing w:after="0" w:line="5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40.73 %</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48.63 %</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2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30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March 31, 2025, there were 1,415 options outstanding with a weighted average exercise price of $7.33 per share and 531 options exercisable with a weighted average exercise price of $9.02 per share. As of March 31, 2024, there were 1,482 options outstanding with a weighted average exercise price of $8.75 per share and 641 options exercisable with a weighted average exercise price of $9.86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no shares of restricted stock were granted and 21 shares of restricted stock were forfeited. Additionally, during the three months ended March 31, 2025, 83 shares of restricted stock vested. During the three months ended March 31, 2024, 122 shares of restricted stock were granted with a weighted average grant date fair value of $5.03 per share and 8 shares of restricted stock were forfeited. Additionally, during the three months ended March 31, 2024, 66 shares of restricted stock vested.</w:t>
      </w:r>
    </w:p>
    <w:p>
      <w:pPr>
        <w:spacing w:after="0" w:line="19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2025 and 2024, the Company had no unvested outstanding options and no outstanding shares of restricted stock that were subject to performance-based or market-based vesting conditions.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Employee Stock Purchase Plan</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March 31, 2025 and 2024, 0 and 24 shares were issued under the ESPP plan, respectively. The Company recorded compensation charges related to the ESPP of $2 and $5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 Stock-Based Compensation Expense</w:t>
      </w:r>
    </w:p>
    <w:p>
      <w:pPr>
        <w:spacing w:after="0" w:line="97"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including expense for the ESPP, in the Company's consolidated statements of operations for the three months ended March 31, 2025 and 2024, respectively: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00" w:type="dxa"/>
            <w:vAlign w:val="bottom"/>
            <w:tcBorders>
              <w:bottom w:val="single" w:sz="8" w:color="auto"/>
            </w:tcBorders>
          </w:tcPr>
          <w:p>
            <w:pPr>
              <w:spacing w:after="0"/>
              <w:rPr>
                <w:sz w:val="19"/>
                <w:szCs w:val="19"/>
                <w:color w:val="auto"/>
              </w:rPr>
            </w:pPr>
          </w:p>
        </w:tc>
      </w:tr>
      <w:tr>
        <w:trPr>
          <w:trHeight w:val="216"/>
        </w:trPr>
        <w:tc>
          <w:tcPr>
            <w:tcW w:w="77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 sales</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6"/>
        </w:trPr>
        <w:tc>
          <w:tcPr>
            <w:tcW w:w="7780" w:type="dxa"/>
            <w:vAlign w:val="bottom"/>
          </w:tcPr>
          <w:p>
            <w:pPr>
              <w:spacing w:after="0"/>
              <w:rPr>
                <w:sz w:val="18"/>
                <w:szCs w:val="18"/>
                <w:color w:val="auto"/>
              </w:rPr>
            </w:pPr>
          </w:p>
        </w:tc>
        <w:tc>
          <w:tcPr>
            <w:tcW w:w="116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522</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 Accumulated Other Comprehensive Loss (AOCL)</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 (loss).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balances for the three months ended March 31, 2025 and 2024 are as follows: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0"/>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2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16"/>
        </w:trPr>
        <w:tc>
          <w:tcPr>
            <w:tcW w:w="6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Borders>
              <w:top w:val="single" w:sz="8" w:color="auto"/>
            </w:tcBorders>
            <w:shd w:val="clear" w:color="auto" w:fill="CCEEFF"/>
          </w:tcPr>
          <w:p>
            <w:pPr>
              <w:spacing w:after="0"/>
              <w:rPr>
                <w:sz w:val="18"/>
                <w:szCs w:val="18"/>
                <w:color w:val="auto"/>
              </w:rPr>
            </w:pPr>
          </w:p>
        </w:tc>
      </w:tr>
      <w:tr>
        <w:trPr>
          <w:trHeight w:val="223"/>
        </w:trPr>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20" w:type="dxa"/>
            <w:vAlign w:val="bottom"/>
            <w:tcBorders>
              <w:bottom w:val="single" w:sz="8" w:color="auto"/>
            </w:tcBorders>
          </w:tcPr>
          <w:p>
            <w:pPr>
              <w:spacing w:after="0"/>
              <w:rPr>
                <w:sz w:val="19"/>
                <w:szCs w:val="19"/>
                <w:color w:val="auto"/>
              </w:rPr>
            </w:pPr>
          </w:p>
        </w:tc>
      </w:tr>
      <w:tr>
        <w:trPr>
          <w:trHeight w:val="216"/>
        </w:trPr>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20" w:type="dxa"/>
            <w:vAlign w:val="bottom"/>
            <w:tcBorders>
              <w:bottom w:val="single" w:sz="8" w:color="auto"/>
            </w:tcBorders>
            <w:shd w:val="clear" w:color="auto" w:fill="CCEEFF"/>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March 31, 2025</w:t>
            </w: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(3,310)</w:t>
            </w:r>
          </w:p>
        </w:tc>
        <w:tc>
          <w:tcPr>
            <w:tcW w:w="20" w:type="dxa"/>
            <w:vAlign w:val="bottom"/>
            <w:tcBorders>
              <w:bottom w:val="single" w:sz="8" w:color="auto"/>
            </w:tcBorders>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5"/>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24"/>
                <w:szCs w:val="24"/>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r>
      <w:tr>
        <w:trPr>
          <w:trHeight w:val="230"/>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2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2023</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20" w:type="dxa"/>
            <w:vAlign w:val="bottom"/>
          </w:tcPr>
          <w:p>
            <w:pPr>
              <w:spacing w:after="0"/>
              <w:rPr>
                <w:sz w:val="18"/>
                <w:szCs w:val="18"/>
                <w:color w:val="auto"/>
              </w:rPr>
            </w:pPr>
          </w:p>
        </w:tc>
      </w:tr>
      <w:tr>
        <w:trPr>
          <w:trHeight w:val="223"/>
        </w:trPr>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Pr>
          <w:p>
            <w:pPr>
              <w:spacing w:after="0"/>
              <w:rPr>
                <w:sz w:val="19"/>
                <w:szCs w:val="19"/>
                <w:color w:val="auto"/>
              </w:rPr>
            </w:pPr>
          </w:p>
        </w:tc>
      </w:tr>
      <w:tr>
        <w:trPr>
          <w:trHeight w:val="216"/>
        </w:trPr>
        <w:tc>
          <w:tcPr>
            <w:tcW w:w="67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March 31, 2024</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(3,956)</w:t>
            </w:r>
          </w:p>
        </w:tc>
        <w:tc>
          <w:tcPr>
            <w:tcW w:w="2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(6)</w:t>
        <w:tab/>
        <w:t>Net Loss per Common Share</w:t>
      </w:r>
    </w:p>
    <w:p>
      <w:pPr>
        <w:spacing w:after="0" w:line="252" w:lineRule="exact"/>
        <w:rPr>
          <w:sz w:val="20"/>
          <w:szCs w:val="20"/>
          <w:color w:val="auto"/>
        </w:rPr>
      </w:pPr>
    </w:p>
    <w:p>
      <w:pPr>
        <w:jc w:val="both"/>
        <w:ind w:firstLine="205"/>
        <w:spacing w:after="0" w:line="267" w:lineRule="auto"/>
        <w:rPr>
          <w:sz w:val="20"/>
          <w:szCs w:val="20"/>
          <w:color w:val="auto"/>
        </w:rPr>
      </w:pPr>
      <w:r>
        <w:rPr>
          <w:rFonts w:ascii="Times New Roman" w:cs="Times New Roman" w:eastAsia="Times New Roman" w:hAnsi="Times New Roman"/>
          <w:sz w:val="17"/>
          <w:szCs w:val="17"/>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months ended March 31, 2025 and 2024 since there was a net loss, the company excluded 1,141 and 1,584 shares, respectively, in outstanding stock options and non-vested restricted shares from its diluted loss per share calculation, as inclusion of these convertible securities would have reduced the net loss per share.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7"/>
          <w:szCs w:val="17"/>
          <w:color w:val="auto"/>
        </w:rPr>
        <w:t>A reconciliation of the basic and diluted weighted average common shares outstanding is as follows:</w:t>
      </w:r>
    </w:p>
    <w:p>
      <w:pPr>
        <w:spacing w:after="0" w:line="23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19,492</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19,286</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common shares issuable in connection with stock plans</w:t>
            </w:r>
          </w:p>
        </w:tc>
        <w:tc>
          <w:tcPr>
            <w:tcW w:w="1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outstanding—diluted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19,492</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420" w:hanging="415"/>
        <w:spacing w:after="0"/>
        <w:tabs>
          <w:tab w:leader="none" w:pos="4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Inventories are stated at the lower of cost or net realizable value using the first-in first-out costing method. Inventories as of March 31, 2025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include the costs of material, labor, and factory overhead. Components of inventories consist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56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w:t>
            </w:r>
          </w:p>
        </w:tc>
      </w:tr>
      <w:tr>
        <w:trPr>
          <w:trHeight w:val="216"/>
        </w:trPr>
        <w:tc>
          <w:tcPr>
            <w:tcW w:w="6760" w:type="dxa"/>
            <w:vAlign w:val="bottom"/>
          </w:tcPr>
          <w:p>
            <w:pPr>
              <w:spacing w:after="0"/>
              <w:rPr>
                <w:sz w:val="18"/>
                <w:szCs w:val="18"/>
                <w:color w:val="auto"/>
              </w:rPr>
            </w:pPr>
          </w:p>
        </w:tc>
        <w:tc>
          <w:tcPr>
            <w:tcW w:w="1560" w:type="dxa"/>
            <w:vAlign w:val="bottom"/>
            <w:tcBorders>
              <w:bottom w:val="single" w:sz="8" w:color="auto"/>
            </w:tcBorders>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22,953</w:t>
            </w:r>
          </w:p>
        </w:tc>
      </w:tr>
      <w:tr>
        <w:trPr>
          <w:trHeight w:val="20"/>
        </w:trPr>
        <w:tc>
          <w:tcPr>
            <w:tcW w:w="6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20" w:hanging="415"/>
        <w:spacing w:after="0"/>
        <w:tabs>
          <w:tab w:leader="none" w:pos="4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67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Starlink pooled data</w:t>
            </w:r>
          </w:p>
        </w:tc>
        <w:tc>
          <w:tcPr>
            <w:tcW w:w="156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14,137</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41"/>
        </w:trPr>
        <w:tc>
          <w:tcPr>
            <w:tcW w:w="67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During the second quarter of 2024, KVH expanded its relationship with Starlink through a bulk data distribution agreement. Under the agreement, KVH prepaid for access to a large block of Starlink Global Priority data at favorable rates. The new agreement offers KVH increased flexibility in the development and sales of custom, cost-effective airtime plans using Starlink’s Global Priority service. KVH began drawing from this prepaid pooled data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3" w:name="page14"/>
    <w:bookmarkEnd w:id="13"/>
    <w:p>
      <w:pPr>
        <w:ind w:left="420" w:hanging="415"/>
        <w:spacing w:after="0"/>
        <w:tabs>
          <w:tab w:leader="none" w:pos="4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net, as of March 31, 2025 and December 31, 2024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Revenue-generating assets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61,380</w:t>
            </w:r>
          </w:p>
        </w:tc>
      </w:tr>
      <w:tr>
        <w:trPr>
          <w:trHeight w:val="22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 and computer equipment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10,561</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7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77,710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78,329</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(51,315)</w:t>
            </w:r>
          </w:p>
        </w:tc>
      </w:tr>
      <w:tr>
        <w:trPr>
          <w:trHeight w:val="216"/>
        </w:trPr>
        <w:tc>
          <w:tcPr>
            <w:tcW w:w="67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24,818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27,014</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Depreciation expense was $2,784 and $3,147 for the three months ended March 31, 2025 and 2024, respectively.</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Certain revenue-generating hardware assets are utilized by the Company in the delivery of the Company's airtime services, media and other content.</w:t>
      </w:r>
    </w:p>
    <w:p>
      <w:pPr>
        <w:spacing w:after="0" w:line="25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2025 and December 31, 2024, the long-lived tangible assets related to the Company’s international subsidiaries were less than 10% of the Company’s long-lived tangible assets.</w:t>
      </w:r>
    </w:p>
    <w:p>
      <w:pPr>
        <w:spacing w:after="0" w:line="17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the third quarter of 2024, the Company commenced its plan to sell the warehouse building and surface parking lot located at 75 Enterprise Center in Middletown, Rhode Island (“75 Enterprise Center”). As of September 30, 2024, 75 Enterprise Center had a carrying value of approximately $7.8 million. The Company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The Company recorded an impairment charge of $1.1 million during the year ended December 31, 2024, as the carrying value of 75 Enterprise Center at the time the asset for sale criteria were met exceeded the fair value less costs to sell.</w:t>
      </w:r>
    </w:p>
    <w:p>
      <w:pPr>
        <w:spacing w:after="0" w:line="19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Additionally, in the third quarter of 2024, the Company commenced its plan to sell the property, building, improvements, and land located at 50 Enterprise Center in Middletown, Rhode Island (“50 Enterprise Center”). As of September 30, 2024, 50 Enterprise Center had a carrying value of approximately $3.6 million. The Company determined that all of the criteria to classify 50 Enterprise Center as held for sale had been met as of September 30, 2024. The estimated fair value of 50 Enterprise Center exceeds its carrying value. In December 2024, the Company entered into an agreement to sell 50 Enterprise Center, subject to the buyer's right to terminate the agreement during an inspection period. In January 2025, before the end of the inspection period, the Company received notice of termination from the buyer. In March 2025, the Company entered into an agreement with another buyer to sell 50 Enterprise Center for $5.3 million. Consummation of the transaction is subject to customary closing conditions. Under the purchase agreement, the buyer has a 60-day inspection period and may terminate the agreement at any time before the end of the inspection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4" w:name="page15"/>
    <w:bookmarkEnd w:id="14"/>
    <w:p>
      <w:pPr>
        <w:ind w:left="520" w:hanging="515"/>
        <w:spacing w:after="0"/>
        <w:tabs>
          <w:tab w:leader="none" w:pos="5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Warranty</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March 31, 2025 and December 31, 2024, the Company had accrued product warranty costs of $707 and $607,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following table summarizes product warranty activity during 2025 and 2024:</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5"/>
        </w:trPr>
        <w:tc>
          <w:tcPr>
            <w:tcW w:w="7860" w:type="dxa"/>
            <w:vAlign w:val="bottom"/>
          </w:tcPr>
          <w:p>
            <w:pPr>
              <w:spacing w:after="0"/>
              <w:rPr>
                <w:sz w:val="24"/>
                <w:szCs w:val="24"/>
                <w:color w:val="auto"/>
              </w:rPr>
            </w:pPr>
          </w:p>
        </w:tc>
        <w:tc>
          <w:tcPr>
            <w:tcW w:w="2860" w:type="dxa"/>
            <w:vAlign w:val="bottom"/>
            <w:gridSpan w:val="4"/>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Pr>
          <w:p>
            <w:pPr>
              <w:spacing w:after="0"/>
              <w:rPr>
                <w:sz w:val="24"/>
                <w:szCs w:val="24"/>
                <w:color w:val="auto"/>
              </w:rPr>
            </w:pPr>
          </w:p>
        </w:tc>
      </w:tr>
      <w:tr>
        <w:trPr>
          <w:trHeight w:val="230"/>
        </w:trPr>
        <w:tc>
          <w:tcPr>
            <w:tcW w:w="78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20" w:type="dxa"/>
            <w:vAlign w:val="bottom"/>
            <w:tcBorders>
              <w:bottom w:val="single" w:sz="8" w:color="auto"/>
            </w:tcBorders>
          </w:tcPr>
          <w:p>
            <w:pPr>
              <w:spacing w:after="0"/>
              <w:rPr>
                <w:sz w:val="19"/>
                <w:szCs w:val="19"/>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828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to expense</w:t>
            </w:r>
          </w:p>
        </w:tc>
        <w:tc>
          <w:tcPr>
            <w:tcW w:w="1100" w:type="dxa"/>
            <w:vAlign w:val="bottom"/>
          </w:tcPr>
          <w:p>
            <w:pPr>
              <w:spacing w:after="0"/>
              <w:rPr>
                <w:sz w:val="19"/>
                <w:szCs w:val="19"/>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264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(366)</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707</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7"/>
                <w:szCs w:val="17"/>
                <w:color w:val="auto"/>
              </w:rPr>
              <w:t>726</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500" w:hanging="495"/>
        <w:spacing w:after="0"/>
        <w:tabs>
          <w:tab w:leader="none" w:pos="5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Matters</w:t>
      </w:r>
    </w:p>
    <w:p>
      <w:pPr>
        <w:spacing w:after="0" w:line="226" w:lineRule="exact"/>
        <w:rPr>
          <w:sz w:val="20"/>
          <w:szCs w:val="20"/>
          <w:color w:val="auto"/>
        </w:rPr>
      </w:pPr>
    </w:p>
    <w:p>
      <w:pPr>
        <w:jc w:val="both"/>
        <w:ind w:firstLine="175"/>
        <w:spacing w:after="0" w:line="276"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5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98"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7"/>
          <w:szCs w:val="17"/>
          <w:color w:val="auto"/>
        </w:rPr>
        <w:t>Level 1:</w:t>
        <w:tab/>
        <w:t>Unadjusted quoted prices in active markets that are accessible at the measurement date for identical, unrestricted assets or liabilities.</w:t>
      </w:r>
    </w:p>
    <w:p>
      <w:pPr>
        <w:spacing w:after="0" w:line="250" w:lineRule="exact"/>
        <w:rPr>
          <w:sz w:val="20"/>
          <w:szCs w:val="20"/>
          <w:color w:val="auto"/>
        </w:rPr>
      </w:pPr>
    </w:p>
    <w:p>
      <w:pPr>
        <w:ind w:left="1240" w:hanging="785"/>
        <w:spacing w:after="0" w:line="296" w:lineRule="auto"/>
        <w:tabs>
          <w:tab w:leader="none" w:pos="1220" w:val="left"/>
        </w:tabs>
        <w:rPr>
          <w:sz w:val="20"/>
          <w:szCs w:val="20"/>
          <w:color w:val="auto"/>
        </w:rPr>
      </w:pPr>
      <w:r>
        <w:rPr>
          <w:rFonts w:ascii="Times New Roman" w:cs="Times New Roman" w:eastAsia="Times New Roman" w:hAnsi="Times New Roman"/>
          <w:sz w:val="17"/>
          <w:szCs w:val="17"/>
          <w:color w:val="auto"/>
        </w:rPr>
        <w:t>Level 2:</w:t>
        <w:tab/>
        <w:t>Quoted prices for similar assets or liabilities in active markets; or observable prices that are based on observable market data, based on directly or indirectly market-corroborated inputs.</w:t>
      </w:r>
    </w:p>
    <w:p>
      <w:pPr>
        <w:spacing w:after="0" w:line="173" w:lineRule="exact"/>
        <w:rPr>
          <w:sz w:val="20"/>
          <w:szCs w:val="20"/>
          <w:color w:val="auto"/>
        </w:rPr>
      </w:pPr>
    </w:p>
    <w:p>
      <w:pPr>
        <w:ind w:left="1260" w:hanging="785"/>
        <w:spacing w:after="0" w:line="296" w:lineRule="auto"/>
        <w:tabs>
          <w:tab w:leader="none" w:pos="1240" w:val="left"/>
        </w:tabs>
        <w:rPr>
          <w:sz w:val="20"/>
          <w:szCs w:val="20"/>
          <w:color w:val="auto"/>
        </w:rPr>
      </w:pPr>
      <w:r>
        <w:rPr>
          <w:rFonts w:ascii="Times New Roman" w:cs="Times New Roman" w:eastAsia="Times New Roman" w:hAnsi="Times New Roman"/>
          <w:sz w:val="17"/>
          <w:szCs w:val="17"/>
          <w:color w:val="auto"/>
        </w:rPr>
        <w:t>Level 3:</w:t>
        <w:tab/>
        <w:t>Unobservable inputs that are supported by little or no market activity and are developed based on the best information available given the circumstances.</w:t>
      </w:r>
    </w:p>
    <w:p>
      <w:pPr>
        <w:spacing w:after="0" w:line="2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financial assets or liabilities were measured at fair value based upon the ASC 820 fair value hierarchy as of March 31, 2025 or December 31, 2024.</w:t>
      </w:r>
    </w:p>
    <w:p>
      <w:pPr>
        <w:spacing w:after="0" w:line="17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and Recorded at Fair Value on a Nonrecurring Basis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non-financial assets, such as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three months ended March 31, 2025 or 2024. The Company does not have any liabilities that are recorded at fair value on a non-recurring basis.</w:t>
      </w:r>
    </w:p>
    <w:p>
      <w:pPr>
        <w:spacing w:after="0" w:line="192"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changes in the carrying amount of intangible assets during the three months ended March 31, 2025 are as follows:</w:t>
            </w: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9"/>
        </w:trPr>
        <w:tc>
          <w:tcPr>
            <w:tcW w:w="90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Amounts</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r>
      <w:tr>
        <w:trPr>
          <w:trHeight w:val="223"/>
        </w:trPr>
        <w:tc>
          <w:tcPr>
            <w:tcW w:w="9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3"/>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Intangible assets acquired in asset acquisition</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March 31, 2025</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w:t>
            </w:r>
          </w:p>
        </w:tc>
      </w:tr>
      <w:tr>
        <w:trPr>
          <w:trHeight w:val="20"/>
        </w:trPr>
        <w:tc>
          <w:tcPr>
            <w:tcW w:w="9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Intangible assets arose from the purchase of distribution rights from Kognitive Networks Inc. in October 2023 and the purchase of KVH Industries Norway AS in September 2010.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7"/>
          <w:szCs w:val="17"/>
          <w:i w:val="1"/>
          <w:iCs w:val="1"/>
          <w:color w:val="auto"/>
        </w:rPr>
        <w:t>Business Combinations (Topic 805)-Clarifying the Definition of a Business</w:t>
      </w:r>
      <w:r>
        <w:rPr>
          <w:rFonts w:ascii="Times New Roman" w:cs="Times New Roman" w:eastAsia="Times New Roman" w:hAnsi="Times New Roman"/>
          <w:sz w:val="17"/>
          <w:szCs w:val="17"/>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6" w:name="page17"/>
    <w:bookmarkEnd w:id="16"/>
    <w:p>
      <w:pPr>
        <w:ind w:firstLine="472"/>
        <w:spacing w:after="0" w:line="280" w:lineRule="auto"/>
        <w:rPr>
          <w:sz w:val="20"/>
          <w:szCs w:val="20"/>
          <w:color w:val="auto"/>
        </w:rPr>
      </w:pPr>
      <w:r>
        <w:rPr>
          <w:rFonts w:ascii="Times New Roman" w:cs="Times New Roman" w:eastAsia="Times New Roman" w:hAnsi="Times New Roman"/>
          <w:sz w:val="17"/>
          <w:szCs w:val="17"/>
          <w:color w:val="auto"/>
        </w:rPr>
        <w:t>Acquired intangible assets are subject to amortization. The following table summarizes acquired intangible assets at March 31, 2025 and December 31, 2024, respectively:</w:t>
      </w:r>
    </w:p>
    <w:tbl>
      <w:tblPr>
        <w:tblLayout w:type="fixed"/>
        <w:tblInd w:w="2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1420" w:type="dxa"/>
            <w:vAlign w:val="bottom"/>
            <w:gridSpan w:val="3"/>
          </w:tcPr>
          <w:p>
            <w:pPr>
              <w:jc w:val="center"/>
              <w:ind w:right="100"/>
              <w:spacing w:after="0" w:line="178"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60" w:type="dxa"/>
            <w:vAlign w:val="bottom"/>
          </w:tcPr>
          <w:p>
            <w:pPr>
              <w:spacing w:after="0"/>
              <w:rPr>
                <w:sz w:val="15"/>
                <w:szCs w:val="15"/>
                <w:color w:val="auto"/>
              </w:rPr>
            </w:pPr>
          </w:p>
        </w:tc>
        <w:tc>
          <w:tcPr>
            <w:tcW w:w="138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5"/>
                <w:szCs w:val="15"/>
                <w:color w:val="auto"/>
              </w:rPr>
            </w:pPr>
          </w:p>
        </w:tc>
        <w:tc>
          <w:tcPr>
            <w:tcW w:w="1300" w:type="dxa"/>
            <w:vAlign w:val="bottom"/>
          </w:tcPr>
          <w:p>
            <w:pPr>
              <w:jc w:val="right"/>
              <w:ind w:right="153"/>
              <w:spacing w:after="0" w:line="178"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233"/>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Amortization expense related to intangible assets was $104 and $100 for the three months ended March 31, 2025 and 2024, respectively. Amortization expense was categorized as general and administrative expense.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March 31, 2025, the total weighted average remaining useful lives of the definite-lived intangible assets was 1.8 years.</w:t>
      </w:r>
    </w:p>
    <w:p>
      <w:pPr>
        <w:spacing w:after="0" w:line="3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Estimated future amortization expense for intangible assets recorded by the Company at March 31,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Years ending December 31,</w:t>
            </w:r>
          </w:p>
        </w:tc>
        <w:tc>
          <w:tcPr>
            <w:tcW w:w="796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vMerge w:val="continue"/>
            <w:shd w:val="clear" w:color="auto" w:fill="CCEEFF"/>
          </w:tcPr>
          <w:p>
            <w:pPr>
              <w:spacing w:after="0"/>
              <w:rPr>
                <w:sz w:val="16"/>
                <w:szCs w:val="16"/>
                <w:color w:val="auto"/>
              </w:rPr>
            </w:pPr>
          </w:p>
        </w:tc>
        <w:tc>
          <w:tcPr>
            <w:tcW w:w="796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00"/>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96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9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net sales from contracts with customers for the three months ended March 31, 2025 and 2024:</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40" w:type="dxa"/>
            <w:vAlign w:val="bottom"/>
          </w:tcPr>
          <w:p>
            <w:pPr>
              <w:spacing w:after="0"/>
              <w:rPr>
                <w:sz w:val="19"/>
                <w:szCs w:val="19"/>
                <w:color w:val="auto"/>
              </w:rPr>
            </w:pPr>
          </w:p>
        </w:tc>
        <w:tc>
          <w:tcPr>
            <w:tcW w:w="2780" w:type="dxa"/>
            <w:vAlign w:val="bottom"/>
            <w:gridSpan w:val="4"/>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0" w:type="dxa"/>
            <w:vAlign w:val="bottom"/>
          </w:tcPr>
          <w:p>
            <w:pPr>
              <w:spacing w:after="0"/>
              <w:rPr>
                <w:sz w:val="19"/>
                <w:szCs w:val="19"/>
                <w:color w:val="auto"/>
              </w:rPr>
            </w:pPr>
          </w:p>
        </w:tc>
      </w:tr>
      <w:tr>
        <w:trPr>
          <w:trHeight w:val="230"/>
        </w:trPr>
        <w:tc>
          <w:tcPr>
            <w:tcW w:w="78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00" w:type="dxa"/>
            <w:vAlign w:val="bottom"/>
            <w:tcBorders>
              <w:bottom w:val="single" w:sz="8" w:color="auto"/>
            </w:tcBorders>
          </w:tcPr>
          <w:p>
            <w:pPr>
              <w:spacing w:after="0"/>
              <w:rPr>
                <w:sz w:val="19"/>
                <w:szCs w:val="19"/>
                <w:color w:val="auto"/>
              </w:rPr>
            </w:pPr>
          </w:p>
        </w:tc>
      </w:tr>
      <w:tr>
        <w:trPr>
          <w:trHeight w:val="216"/>
        </w:trPr>
        <w:tc>
          <w:tcPr>
            <w:tcW w:w="7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 over time</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25,038</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 point in time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4,229</w:t>
            </w:r>
          </w:p>
        </w:tc>
      </w:tr>
      <w:tr>
        <w:trPr>
          <w:trHeight w:val="241"/>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7" w:name="page18"/>
    <w:bookmarkEnd w:id="17"/>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offers a comprehensive family of mobile satellite antenna services and products that provide access to the Internet, television, and VoIP services while on the move. Service sales of airtime service accounted for approximately 79% and 81% of the Company's consolidated net sales for the three months ended March 31, 2025 and 2024, respectively. The balance of service sales are comprised of distribution of commercially licensed entertainment and news, product repairs, and extended warranty sales. Product sales accounted for 15% and 14% of the Company's consolidated net sales for the three months ended March 31, 2025 and 2024, respectively.</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other single product class accounts for 10% or more of the Company's consolidated net sales.</w:t>
      </w:r>
    </w:p>
    <w:p>
      <w:pPr>
        <w:spacing w:after="0" w:line="25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80% and 72% of consolidated net sales for the three months ended March 31, 2025 and 2024, respectively. Sales to Singapore customers represented 23% and 22% of the Company's consolidated net sales for the three months ended March 31, 2025 and 2024, respectively. No other individual foreign country represented 10% or more of the Company's consolidated net sales for the three months ended March 31, 2025 or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and Credit Concentrations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94"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One customer accounted for 13% and 11% of consolidated net sales for the three months ended March 31, 2025 and 2024, respectively. No other customers accounted for 10% or more of consolidated net sales for the three months ended March 31, 2025 and 2024. One customer accounted for approximately 21% and 19% of accounts receivable at March 31, 2025 and December 31, 2024, respectively. One customer accounted for 39% and 45% of long-term accounts receivable included in other non-current assets on the consolidated balance sheets related to sales-type leases at March 31, 2025 and December 31, 2024, respectively.</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88" w:lineRule="exact"/>
        <w:rPr>
          <w:sz w:val="20"/>
          <w:szCs w:val="20"/>
          <w:color w:val="auto"/>
        </w:rPr>
      </w:pPr>
    </w:p>
    <w:p>
      <w:pPr>
        <w:ind w:left="520" w:hanging="515"/>
        <w:spacing w:after="0"/>
        <w:tabs>
          <w:tab w:leader="none" w:pos="5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March 31, 2025 was (1.5)%, compared with (2.5)%, for the corresponding period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94"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2025 and 2024,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3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the Company had reserves for uncertain tax positions of $745 and $724, respectively. There were no material changes during the three months ended March 31, 2025 to the Company’s reserve for uncertain tax positions. The Company estimates that it is reasonably possible that the balance of unrecognized tax benefits as of March 31, 2025 may decrease $15 in the next twelve months as a result of a lapse of statutes of limitations and settlements with taxing authorities.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8" w:name="page19"/>
    <w:bookmarkEnd w:id="18"/>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92"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Lessee</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 has operating leases for office facilities, equipment, and satellite service capacity and related equipment. Lease expense was $271 and $353 for the three months ended March 31, 2025 and 2024, respectively. Short-term operating lease costs were $22 and $19 for the three months ended March 31, 2025 and 2024, respectively. Maturities of lease liabilities as of March 31, 2025 under operating leases having an initial or remaining non-cancelable term of one year or more are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460</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80" w:type="dxa"/>
            <w:vAlign w:val="bottom"/>
          </w:tcPr>
          <w:p>
            <w:pPr>
              <w:spacing w:after="0"/>
              <w:rPr>
                <w:sz w:val="19"/>
                <w:szCs w:val="19"/>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292</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204</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 and thereafter</w:t>
            </w: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154</w:t>
            </w:r>
          </w:p>
        </w:tc>
      </w:tr>
      <w:tr>
        <w:trPr>
          <w:trHeight w:val="216"/>
        </w:trPr>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1,110</w:t>
            </w:r>
          </w:p>
        </w:tc>
      </w:tr>
      <w:tr>
        <w:trPr>
          <w:trHeight w:val="262"/>
        </w:trPr>
        <w:tc>
          <w:tcPr>
            <w:tcW w:w="8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(78)</w:t>
            </w:r>
          </w:p>
        </w:tc>
      </w:tr>
      <w:tr>
        <w:trPr>
          <w:trHeight w:val="216"/>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Present value of net minimum operating lease payments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1,032</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installments of obligation under current-operating lease liabilities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507</w:t>
            </w:r>
          </w:p>
        </w:tc>
      </w:tr>
      <w:tr>
        <w:trPr>
          <w:trHeight w:val="216"/>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Obligations under long-term operating lease liabilities, excluding current installments</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525</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8"/>
        </w:trPr>
        <w:tc>
          <w:tcPr>
            <w:tcW w:w="8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 (years)</w:t>
            </w: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5.50 %</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Lessor</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enters into leases with certain customers primarily for the TracPhone and TracNet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current portion of the net investment in these leases was $3,067 as of March 31, 2025 and the non-current portion of the net investment in these leases was $3,036 as of March 31, 2025.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$102 and $129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228"/>
        </w:trPr>
        <w:tc>
          <w:tcPr>
            <w:tcW w:w="8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future undiscounted cash flows from these leases as of March 31, 2025 are:</w:t>
            </w: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8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3"/>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6"/>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undiscounted cash flows</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6,631</w:t>
            </w:r>
          </w:p>
        </w:tc>
      </w:tr>
      <w:tr>
        <w:trPr>
          <w:trHeight w:val="262"/>
        </w:trPr>
        <w:tc>
          <w:tcPr>
            <w:tcW w:w="8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Difference between undiscounted cash flows and discounted cash flows</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w:t>
            </w:r>
          </w:p>
        </w:tc>
      </w:tr>
      <w:tr>
        <w:trPr>
          <w:trHeight w:val="20"/>
        </w:trPr>
        <w:tc>
          <w:tcPr>
            <w:tcW w:w="8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2021, the Company began entering into three-year leases for its TracPhone VSAT systems, in which ownership of the hardware does not transfer to the lessee by the end of the lease term. As a result, and in light of other factors indicated in ASC 842, these leases are classified as operating leases.</w:t>
      </w:r>
    </w:p>
    <w:p>
      <w:pPr>
        <w:spacing w:after="0" w:line="17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March 31, 2025, the gross costs and accumulated depreciation associated with these operating leases are included in revenue generating assets and amounted to $1,767 and $1,352, respectively. They are depreciated on a straight-line basis over a five-year estimated useful life. Depreciation expense for these operating leases was $89 for the three months ended March 31, 2025.</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Lease revenue recognized was $19 for the three months ended March 31, 2025, respectively, in service sales in the consolidated statements of operations.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8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As of March 31, 2025, minimum future lease payments to be recognized on the operating leases are as follows:</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8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6"/>
        </w:trPr>
        <w:tc>
          <w:tcPr>
            <w:tcW w:w="8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8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520" w:hanging="515"/>
        <w:spacing w:after="0"/>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w:t>
      </w:r>
    </w:p>
    <w:p>
      <w:pPr>
        <w:spacing w:after="0" w:line="239"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at the Middletown, Rhode Island facility by the end of 2025.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the Middletown, Rhode Island location until the Company's anticipated relocation by early next year.</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As part of this restructuring, the Company reduced its headcount by approximately 75 employees, or approximately 20% of its total workforce as of the time the Company announced the restructuring. In 2024, the Company incurred aggregate severance charges of approximately $3.9 million, consisting of approximately $3.6 million of cash charges and approximately $0.3 million of non-cash charges arising from pre-existing contractual obligations to accelerate vesting of certain outstanding equity compensation awards. For the aggregate severance charges of approximately $3.9 million, the Company recorded in its consolidated statement of operations $0.9 million in cost of product sales, $1.4 million in research and development, $0.7 million in sales, marketing and support, and $0.8 million in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0" w:name="page21"/>
    <w:bookmarkEnd w:id="20"/>
    <w:p>
      <w:pPr>
        <w:ind w:left="520" w:hanging="515"/>
        <w:spacing w:after="0"/>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the three months ended March 31, 2025 and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4"/>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60" w:type="dxa"/>
            <w:vAlign w:val="bottom"/>
            <w:tcBorders>
              <w:bottom w:val="single" w:sz="8" w:color="auto"/>
            </w:tcBorders>
          </w:tcPr>
          <w:p>
            <w:pPr>
              <w:spacing w:after="0"/>
              <w:rPr>
                <w:sz w:val="19"/>
                <w:szCs w:val="19"/>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Sales: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21,642</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4,229</w:t>
            </w:r>
          </w:p>
        </w:tc>
      </w:tr>
      <w:tr>
        <w:trPr>
          <w:trHeight w:val="216"/>
        </w:trPr>
        <w:tc>
          <w:tcPr>
            <w:tcW w:w="786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29,267</w:t>
            </w:r>
          </w:p>
        </w:tc>
      </w:tr>
      <w:tr>
        <w:trPr>
          <w:trHeight w:val="262"/>
        </w:trPr>
        <w:tc>
          <w:tcPr>
            <w:tcW w:w="7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 of service sales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VSAT airtime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13,207</w:t>
            </w:r>
          </w:p>
        </w:tc>
      </w:tr>
      <w:tr>
        <w:trPr>
          <w:trHeight w:val="223"/>
        </w:trPr>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LEO airtime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(1)</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product sales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VSAT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LEO</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23"/>
        </w:trPr>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TracVision &amp; land mobile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(2)</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w:t>
            </w: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w:t>
            </w: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3"/>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(3)</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16"/>
        </w:trPr>
        <w:tc>
          <w:tcPr>
            <w:tcW w:w="7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Sales, marketing and support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w:t>
            </w:r>
          </w:p>
        </w:tc>
      </w:tr>
      <w:tr>
        <w:trPr>
          <w:trHeight w:val="223"/>
        </w:trPr>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(4)</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w:t>
            </w: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3,460</w:t>
            </w:r>
          </w:p>
        </w:tc>
      </w:tr>
      <w:tr>
        <w:trPr>
          <w:trHeight w:val="223"/>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23"/>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(5)</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w:t>
            </w:r>
          </w:p>
        </w:tc>
      </w:tr>
      <w:tr>
        <w:trPr>
          <w:trHeight w:val="216"/>
        </w:trPr>
        <w:tc>
          <w:tcPr>
            <w:tcW w:w="7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w:t>
            </w:r>
          </w:p>
        </w:tc>
      </w:tr>
      <w:tr>
        <w:trPr>
          <w:trHeight w:val="262"/>
        </w:trPr>
        <w:tc>
          <w:tcPr>
            <w:tcW w:w="7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segment items (6)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r>
      <w:tr>
        <w:trPr>
          <w:trHeight w:val="262"/>
        </w:trPr>
        <w:tc>
          <w:tcPr>
            <w:tcW w:w="78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Inmarsat, service activations, content service, CommBox Edge and other miscellaneous</w:t>
      </w:r>
    </w:p>
    <w:p>
      <w:pPr>
        <w:spacing w:after="0" w:line="7" w:lineRule="exact"/>
        <w:rPr>
          <w:rFonts w:ascii="Times New Roman" w:cs="Times New Roman" w:eastAsia="Times New Roman" w:hAnsi="Times New Roman"/>
          <w:sz w:val="17"/>
          <w:szCs w:val="17"/>
          <w:color w:val="auto"/>
        </w:rPr>
      </w:pPr>
    </w:p>
    <w:p>
      <w:pPr>
        <w:ind w:left="620" w:hanging="301"/>
        <w:spacing w:after="0" w:line="225"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CommBox Edge, TracNet Coastal, obsolete inventory write-off and other miscellaneous</w:t>
      </w:r>
    </w:p>
    <w:p>
      <w:pPr>
        <w:ind w:left="620" w:hanging="301"/>
        <w:spacing w:after="0" w:line="225"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facilities and other less significant expenses</w:t>
      </w: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marketing expenses, external commissions, travel and entertainment, facilities expense, warranty expense and other less significant expenses</w:t>
      </w:r>
    </w:p>
    <w:p>
      <w:pPr>
        <w:ind w:left="620" w:hanging="301"/>
        <w:spacing w:after="0" w:line="225"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financing fees, facilities expense, computer expenses, depreciation and amortization and other less significant expenses</w:t>
      </w:r>
    </w:p>
    <w:p>
      <w:pPr>
        <w:ind w:left="620" w:hanging="301"/>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items includes interest income; other expense, net; and income tax expense line items on the face of the income statement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2" w:name="page23"/>
    <w:bookmarkEnd w:id="22"/>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Regarding the Company's long-lived assets of $25,948, $4,719 of these assets are located inside of the United States, while the remaining $21,229 are located outside of the United States. Regarding the assets located outside of the United States, $7,128 are located in Singapore. The geographic location of the Company's AgilePlans revenue-generating assets has been determined based upon the customer shipping address.</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Buyback Program</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December 9, 2024, the Board of Directors of the Company authorized a share repurchase program pursuant to which the Company may purchase outstanding shares of the Company’s common stock for an aggregate purchase price of up to $10 million.</w:t>
      </w:r>
    </w:p>
    <w:p>
      <w:pPr>
        <w:spacing w:after="0" w:line="160" w:lineRule="exact"/>
        <w:rPr>
          <w:sz w:val="20"/>
          <w:szCs w:val="20"/>
          <w:color w:val="auto"/>
        </w:rPr>
      </w:pPr>
    </w:p>
    <w:p>
      <w:pPr>
        <w:jc w:val="both"/>
        <w:ind w:firstLine="472"/>
        <w:spacing w:after="0" w:line="244" w:lineRule="auto"/>
        <w:rPr>
          <w:sz w:val="20"/>
          <w:szCs w:val="20"/>
          <w:color w:val="auto"/>
        </w:rPr>
      </w:pPr>
      <w:r>
        <w:rPr>
          <w:rFonts w:ascii="Times New Roman" w:cs="Times New Roman" w:eastAsia="Times New Roman" w:hAnsi="Times New Roman"/>
          <w:sz w:val="17"/>
          <w:szCs w:val="17"/>
          <w:color w:val="auto"/>
        </w:rPr>
        <w:t>Under the program, the Company, at management’s discretion, may repurchase shares from time to time through various means, including on the open market, in privately negotiated transactions or block transactions, or through an accelerated repurchase agreement. The Company may elect to make purchases under Rule 10b-18 under the Securities Exchange Act of 1934, as amended, which imposes certain volume limitations, and/or under Rule 10b5-1 under that act, which would permit repurchases to occur during periods when the Company might otherwise be precluded from making purchases under insider trading laws or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the Company to repurchase any minimum number or dollar amount of shares, and the program may be modified, suspended or terminated at any time without prior notice.</w:t>
      </w:r>
    </w:p>
    <w:p>
      <w:pPr>
        <w:spacing w:after="0" w:line="21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three months ended March 31, 2025, the Company repurchased 31 shares of common stock in open market transactions at a cost of approximately $163. Except as noted above, there were no other repurchase programs outstanding.</w:t>
      </w:r>
    </w:p>
    <w:p>
      <w:pPr>
        <w:spacing w:after="0" w:line="171" w:lineRule="exact"/>
        <w:rPr>
          <w:sz w:val="20"/>
          <w:szCs w:val="20"/>
          <w:color w:val="auto"/>
        </w:rPr>
      </w:pPr>
    </w:p>
    <w:p>
      <w:pPr>
        <w:ind w:right="1400"/>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ITEM 2. MANAGEMENT’S DISCUSSION AND ANALYSIS OF FINANCIAL CONDITION AND RESULTS OF OPERATIONS </w:t>
      </w:r>
      <w:r>
        <w:rPr>
          <w:rFonts w:ascii="Times New Roman" w:cs="Times New Roman" w:eastAsia="Times New Roman" w:hAnsi="Times New Roman"/>
          <w:sz w:val="17"/>
          <w:szCs w:val="17"/>
          <w:b w:val="1"/>
          <w:bCs w:val="1"/>
          <w:i w:val="1"/>
          <w:iCs w:val="1"/>
          <w:color w:val="auto"/>
        </w:rPr>
        <w:t>Introduction</w:t>
      </w:r>
    </w:p>
    <w:p>
      <w:pPr>
        <w:spacing w:after="0" w:line="1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annual report on Form 10-K for the year ended December 31, 2024.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spacing w:after="0" w:line="19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In mid-2022, we launched our KVH ONE hybrid network, which integrates global satellite service (including Ku-band VSAT using the Intelsat HTS network along with Starlink, OneWeb, Iridium, and other satellite services), KVH-provided cellular service in more than 150 countries, and shore-based Wi-Fi access. Revenue from our cellular airtime service has supplemented, and we expect will continue to supplement, our satellite-only airtime revenue. In addition, we earn monthly usage fees from sales of third-party satellite connectivity for VoIP, data and Internet services to our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3" w:name="page24"/>
    <w:bookmarkEnd w:id="23"/>
    <w:p>
      <w:pPr>
        <w:jc w:val="both"/>
        <w:spacing w:after="0" w:line="265" w:lineRule="auto"/>
        <w:rPr>
          <w:sz w:val="20"/>
          <w:szCs w:val="20"/>
          <w:color w:val="auto"/>
        </w:rPr>
      </w:pPr>
      <w:r>
        <w:rPr>
          <w:rFonts w:ascii="Times New Roman" w:cs="Times New Roman" w:eastAsia="Times New Roman" w:hAnsi="Times New Roman"/>
          <w:sz w:val="17"/>
          <w:szCs w:val="17"/>
          <w:color w:val="auto"/>
        </w:rPr>
        <w:t>Inmarsat, Iridium, and Starlink customers who choose to activate their subscriptions with us. In March 2023, we began selling Starlink terminals and, in September 2023, we became a Starlink authorized hardware and airtime reseller offering Global Priority data plans for maritime use. In October 2024, we expanded our portfolio to include Starlink Local Priority data plans, which will primarily be used for stationary and in-motion commercial use on land. In December 2024, we introduced our TracNet Coastal and TracNet Coastal Pro terminals, expanding our extensive multi-channel portfolio of maritime products and services with a 5G/cellular and Wi-Fi system. We expect to earn usage fees from our offering of OneWeb service, which we launched in January 2025. We also generate service revenue from product repairs and extended warranty sales.</w:t>
      </w:r>
    </w:p>
    <w:p>
      <w:pPr>
        <w:spacing w:after="0" w:line="19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service sales also include the distribution of entertainment, including movies, television programming, news and music, to commercial customers in the maritime market through KVH Media Group, along with supplemental value-added services.</w:t>
      </w:r>
    </w:p>
    <w:p>
      <w:pPr>
        <w:spacing w:after="0" w:line="17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Historically, our Ku-band VSAT communications service has been the primary driver of revenue growth. However, these services represent a declining percentage of our revenues in the face of increased demand for and competition from emerging LEO services.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19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through 2025 and potentially into 2026 and that we will cease substantially all manufacturing activity by the end of 2025. We expect to continue to facilitate customer transition to third-party hardware products compatible with our mobile satellite communications services. We also plan to continue to conduct maintenance, service, warehousing, shipping and receiving activities at the Middletown, Rhode Island location until our anticipated relocation by early next year.</w:t>
      </w:r>
    </w:p>
    <w:p>
      <w:pPr>
        <w:spacing w:after="0" w:line="205"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As part of this restructuring, we reduced our headcount by approximately 75 employees, or approximately 20% of our total workforce as of the time we announced the restructuring. As of June 30, 2024, all employee terminations were completed. During 2024, we incurred $3.9 million of severance charges for this and other restructurings. The $3.9 million of severance charges incurred during the year consisted of approximately $3.6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second quarter of 2024, we expanded our relationship with Starlink through a bulk data distribution agreement. Under the agreement, we prepaid $17.0 million for access to a large block of Starlink Global Priority data at favorable rates. The new agreement offers us increased flexibility in the development and sale of custom airtime plans using Starlink’s Global Priority service.</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third quarter of 2024, we commenced our plan to sell the warehouse building and surface parking lot located at 75 Enterprise Center in Middletown, Rhode Island (“75 Enterprise Center”). As of September 30, 2024, 75 Enterprise Center had a carrying value of approximately $7.8 million. We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We recorded an impairment charge of $1.1 million in 2024, as the carrying value of 75 Enterprise Center at the time the asset for sale criteria were met exceeded the fair value less costs to sell.</w:t>
      </w:r>
    </w:p>
    <w:p>
      <w:pPr>
        <w:spacing w:after="0" w:line="19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In December 2024, we entered into an agreement to sell 75 Enterprise Center for $8.5 million. Consummation of the transaction is subject to customary closing conditions. Under the purchase agreement, the buyer has six months to obtain specified zoning approvals, with up to three 30-day extensions, as well as a 60-day inspection period, subject to potential extension. The buyer may terminate the agreement at any time before the expiration of the inspection period and may also terminate the agreement if the specified zoning approvals are denied before the expiration of the zoning approval period. Upon consummation of the sale, we will remain in possession of the property as a tenant under a triple-net lease having an initial term of six months, which we can extend for up to an additional three months. Rent during the initial term is approximately $25,000 per month, which would increase to approximately $44,000 per month during any extension.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4" w:name="page25"/>
    <w:bookmarkEnd w:id="24"/>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Additionally, in the third quarter of 2024, we commenced our plan to sell the property, building, improvements, and land located at 50 Enterprise Center in Middletown, Rhode Island (“50 Enterprise Center”). As of September 30, 2024, 50 Enterprise Center had a carrying value of approximately $3.6 million</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We determined that all of the criteria to classify 50 Enterprise Center as held for sale had been met as of September 30, 2024. The estimated fair value of 50 Enterprise Center exceeds its carrying value. In December 2024, we entered into an agreement to sell 50 Enterprise Center, subject to the buyer’s right to terminate the agreement during an inspection period. In January 2025, before the end of the inspection period, we received notice of termination from the buyer. In March 2025, we entered into an agreement with another buyer to sell 50 Enterprise Center for $5.3 million. Consummation of the transaction is subject to customary closing conditions. Under the purchase agreement, the buyer has a 60-day inspection period and may terminate the agreement at any time before the end of the inspection period.</w:t>
      </w:r>
    </w:p>
    <w:p>
      <w:pPr>
        <w:spacing w:after="0" w:line="20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marine leisure business has been highly seasonal, and seasonality can also impact our commercial marine business.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2024.</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the three months ended March 31, 2025, as discussed below.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for the periods indicated, certain financial data relating to our operations expressed as a percentage of net sales:</w:t>
      </w:r>
    </w:p>
    <w:p>
      <w:pPr>
        <w:spacing w:after="0" w:line="15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85.6 %</w:t>
            </w:r>
          </w:p>
        </w:tc>
        <w:tc>
          <w:tcPr>
            <w:tcW w:w="0" w:type="dxa"/>
            <w:vAlign w:val="bottom"/>
          </w:tcPr>
          <w:p>
            <w:pPr>
              <w:spacing w:after="0"/>
              <w:rPr>
                <w:sz w:val="1"/>
                <w:szCs w:val="1"/>
                <w:color w:val="auto"/>
              </w:rPr>
            </w:pPr>
          </w:p>
        </w:tc>
      </w:tr>
      <w:tr>
        <w:trPr>
          <w:trHeight w:val="223"/>
        </w:trPr>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1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9"/>
                <w:szCs w:val="19"/>
                <w:color w:val="auto"/>
              </w:rPr>
            </w:pP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23"/>
        </w:trPr>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23"/>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3"/>
        </w:trPr>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23"/>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6"/>
        </w:trPr>
        <w:tc>
          <w:tcPr>
            <w:tcW w:w="76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113.0</w:t>
            </w:r>
          </w:p>
        </w:tc>
        <w:tc>
          <w:tcPr>
            <w:tcW w:w="0" w:type="dxa"/>
            <w:vAlign w:val="bottom"/>
          </w:tcPr>
          <w:p>
            <w:pPr>
              <w:spacing w:after="0"/>
              <w:rPr>
                <w:sz w:val="1"/>
                <w:szCs w:val="1"/>
                <w:color w:val="auto"/>
              </w:rPr>
            </w:pPr>
          </w:p>
        </w:tc>
      </w:tr>
      <w:tr>
        <w:trPr>
          <w:trHeight w:val="223"/>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9"/>
                <w:szCs w:val="19"/>
                <w:color w:val="auto"/>
              </w:rPr>
            </w:pP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23"/>
        </w:trPr>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6"/>
        </w:trPr>
        <w:tc>
          <w:tcPr>
            <w:tcW w:w="76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36"/>
        </w:trPr>
        <w:tc>
          <w:tcPr>
            <w:tcW w:w="87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loss</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7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2025 and 2024</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net sales for the three months ended March 31, 2025 and 2024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vMerge w:val="restart"/>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6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w:t>
            </w: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Net sales decreased by $3.9 million, or 13%, for the three months ended March 31, 2025 as compared to the three months ended March 31, 2024. Service sales decreased by $3.4 million, or 14%, to $21.6 million for the three months ended March 31, 2025 from $25.0 million for the three months ended March 31, 2024. The decrease in service sales was primarily due to a $3.5 million decrease in our airtime service sales, of which $2.5 million was related to the U.S. Coast Guard contract downgrade. In addition, there was a decrease in VSAT-only subscribers, partially offset by an increase in LEO service sales. Alternative solutions offered by recent LEO entrants have heightened competition in the global leisure segment and in commercial and government markets.</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Product sales decreased by $0.5 million, or 11%, to $3.8 million for the three months ended March 31, 2025 from $4.2 million for the three months ended March 31, 2024. The decrease in product sales was primarily due to a $0.5 million decrease in TracVision product sales and a $0.2 million decrease in accessory and land mobile connectivity product sales, partially offset by a $0.2 million increase in Starlink product sales and a $0.2 million increase in CommBox Edge product sales. The decline in product sales was primarily driven by product sales mix. Competition from low-cost alternatives to VSAT, which include streaming capabilities, has had a significant impact on sales of both TracVision and VSAT Broadband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2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Costs of sales consists of costs of service sales and costs of product sales. Costs of sales decreased by $1.4 million, or 7%, in the three months ended March 31, 2025 to $18.0 million from $19.4 million in the three months ended March 31, 2024. The decrease in costs of sales was driven by a $1.6 million decrease in costs of product sales, partially offset by a $0.2 million increase in costs of service sales. As a percentage of net sales, costs of sales were 71% and 66% for the three months ended March 31, 2025 and 2024, respectively.</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March 31, 2025, costs of service sales increased by $0.2 million, or 1%, to $14.2 million from $14.0 million for the three months ended March 31, 2024, primarily due to a $0.2 million increase in content services cost of service sales. As a percentage of service sales, costs of service sales were 66% and 56% for the three months ended March 31, 2025 and 2024, respectively, driven primarily by fixed costs.</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Our costs of product sales consist primarily of materials, manufacturing overhead, and direct labor used to produce our products. For the three months ended March 31, 2025, costs of product sales decreased by $1.6 million, or 30%, to $3.7 million from $5.3 million in the three months ended March 31, 2024, primarily due to a $1.2 million decrease in various manufacturing and other unabsorbed expenses, a $0.4 million decrease in TracVision cost of product sales and a $0.2 million decrease in accessory cost of product sales, partially offset by a $0.2 million increase in Starlink cost of product sales. As a percentage of product sales, costs of product sales were 99% and 126% for the three months ended March 31, 2025 and 2024, respectively. Cost of product sales decreased as a percentage of product sales primarily due to the decrease in various manufacturing and other unabsorbed expense.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March 31, 2025 decreased by $1.9 million, or 61%, to $1.2 million from $3.0 million for the three months ended March 31, 2024. The decrease in research and development expense resulted primarily from a $1.7 million decrease in salaries, benefits and taxes, after giving effect to $0.8 million in costs incurred during the three months ended March 31, 2024 related to the reduction in our workforce. As a percentage of net sales, research and development expense was 5% and 10% for the three months ended March 31, 2025 and 2024, respectively.</w:t>
      </w:r>
    </w:p>
    <w:p>
      <w:pPr>
        <w:spacing w:after="0" w:line="19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for the three months ended March 31, 2025 decreased by $0.4 million, or 8%, to $5.0 million from $5.4 million for the three months ended March 31, 2024. The decrease in sales, marketing and support expense resulted primarily from a $0.4 million decrease in salaries, benefits and taxes, after giving effect to $0.3 million in costs incurred during the three months ended March 31, 2024 related to the reduction in our workforce. As a percentage of net sales, sales, marketing and support expense was 20% and 18% for the three months ended March 31, 2025 and 2024, respectively.</w:t>
      </w:r>
    </w:p>
    <w:p>
      <w:pPr>
        <w:spacing w:after="0" w:line="20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March 31, 2025 decreased by $1.8 million, or 33%, to $3.5 million from $5.3 million for the three months ended March 31, 2024. The decrease in general and administrative expense resulted primarily from a $1.6 million decrease in salaries, benefits and taxes, after giving effect to $0.6 million in costs incurred during the three months ended March 31, 2024 related to the reduction in our workforce, and a $0.3 million decrease in depreciation expense. As a percentage of net sales, general and administrative expense was 14% and 18% for the three months ended March 31,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Expense, Net</w:t>
      </w:r>
    </w:p>
    <w:p>
      <w:pPr>
        <w:spacing w:after="0" w:line="22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Interest income decreased by $0.3 million to $0.6 million for the three months ended March 31, 2025 from $0.9 million for the three months ended March 31, 2024. Of the current period interest income of $0.6 million, $0.5 million is attributable to interest earned on cash and cash equivalents, and $0.1 million was attributable to interest from lease receivables. Other expense, net decreased by $0.2 million to other expense, net of less than $0.1 million for the three months ended March 31, 2025 from other expense, net of $0.2 million for the three months ended March 31, 2024. This decrease was driven by a $0.2 million decrease in the loss on disposal of fixed assets.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Income tax expense for the three months ended March 31, 2025 was less than $0.1 million and related to states taxes and taxes on income earned in foreign jurisdictions. Income tax expense for the three months ended March 31, 2024 was $0.1 million and related to taxes on income earned in foreign jurisdictions.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a PPP loan, cash flows from operations, bank financings and proceeds received from exercises of stock options and the issuance of stock.</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August 9, 2022, we sold our inertial navigation business to EMCORE Corporation for net proceeds of $54.9 million, less specified deductions.</w:t>
      </w:r>
    </w:p>
    <w:p>
      <w:pPr>
        <w:spacing w:after="0" w:line="25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2025, we had $48.6 million in cash and cash equivalents, of which $3.5 million in cash and cash equivalents was held in local currencies by our foreign subsidiaries. We held no marketable securities as of March 31, 2025. As of March 31, 2025, we had $108.5 million in working capital.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8" w:name="page29"/>
    <w:bookmarkEnd w:id="28"/>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Net cash used in operations was $1.3 million for the three months ended March 31, 2025 compared to net cash used in operations of $0.8 million for the three months ended March 31, 2024. The $0.5 million increase in net cash used in operations was primarily the result of a $3.1 million increase in cash outflows related to accounts payable, a $1.3 million decrease in cash inflows relating to accounts receivable, a change of $0.7 million related to non-cash items and a $0.5 million increase in cash outflows related to prepaid expenses and current assets, partially offset by a $2.5 million decrease in cash outflows relating to accrued compensation, product warranty and other expenses, a $1.5 million decrease in net loss and a $1.0 million decrease in cash outflows relating to inventories.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$0.6 million for the three months ended March 31, 2025 compared to net cash provided by investing activities of $0.9 million for the three months ended March 31, 2024. The $1.4 million change in net cash provided by investing activities was primarily the result of a $3.3 million decrease in proceeds from net sales of marketable securities, which was driven by the liquidation of our marketable securities held by Wells Fargo in 2024, partially offset by a $1.3 million decrease in capital expenditures and a $0.6 million increase in proceeds from the sale of fixed assets.</w:t>
      </w:r>
    </w:p>
    <w:p>
      <w:pPr>
        <w:spacing w:after="0" w:line="194"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Net cash used in financing activities was $0.2 million for the three months ended March 31, 2025 compared to net cash provided by financing activities of $0.1 million for the three months ended March 31, 2024. The $0.3 million change in net cash used in financing activities is primarily attributable to a $0.2 million increase in cash outflows related to the repurchase of treasury stock and $0.1 million decrease in cash inflows relating to proceeds from the exercise of stock options and purchases under our employee stock purchase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25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in which we may purchase outstanding shares of our common stock for an aggregate purchase price of up to $10 million.</w:t>
      </w:r>
    </w:p>
    <w:p>
      <w:pPr>
        <w:spacing w:after="0" w:line="160"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three months ended March 31, 2025, we repurchased 30,818 shares of common stock in open market transactions at a cost of $0.2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noted above, there were no other repurchase programs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9" w:name="page30"/>
    <w:bookmarkEnd w:id="29"/>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the effectiveness of our disclosure controls and procedures as of March 31, 2025, the end of the period covered by this interim report. Based on that evaluation, our Chief Executive Officer and Chief Financial Officer concluded that our disclosure controls and procedures were effective as of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Changes in Internal Control over Financial Reporting</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changes in our internal control over financial reporting that occurred during the first quarter of 2025. Based on that evaluation, our Chief Executive Officer and Chief Financial Officer did not identify any change in our internal control over financial reporting during the first quarter of 2025 that has materially affected, or is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Considerations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0" w:name="page31"/>
    <w:bookmarkEnd w:id="30"/>
    <w:p>
      <w:pPr>
        <w:ind w:left="428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in which we may purchase outstanding shares of our common stock for an aggregate purchase price of up to $10 million.</w:t>
      </w:r>
    </w:p>
    <w:p>
      <w:pPr>
        <w:spacing w:after="0" w:line="173"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21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three months ended March 31, 2025, we repurchased 30,818 shares of common stock in open market transactions at a cost of approximately $162,780. Except as noted above, there were no other repurchase programs outstanding.</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three months ended March 31, 2025, no vested restricted shares were surrendered to us in satisfaction of tax withholding obligations.</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our repurchase of common stock during the three months ended March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Total Number of Shares Purchased</w:t>
            </w:r>
          </w:p>
        </w:tc>
        <w:tc>
          <w:tcPr>
            <w:tcW w:w="20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0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Average Price Paid per Share</w:t>
            </w:r>
            <w:r>
              <w:rPr>
                <w:rFonts w:ascii="Times New Roman" w:cs="Times New Roman" w:eastAsia="Times New Roman" w:hAnsi="Times New Roman"/>
                <w:sz w:val="18"/>
                <w:szCs w:val="18"/>
                <w:b w:val="1"/>
                <w:bCs w:val="1"/>
                <w:color w:val="auto"/>
                <w:w w:val="97"/>
                <w:vertAlign w:val="superscript"/>
              </w:rPr>
              <w:t>(1)</w:t>
            </w:r>
          </w:p>
        </w:tc>
        <w:tc>
          <w:tcPr>
            <w:tcW w:w="43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as Part of Publicly Announced   Shares that May Yet Be Purchased</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2320" w:type="dxa"/>
            <w:vAlign w:val="bottom"/>
            <w:tcBorders>
              <w:bottom w:val="single" w:sz="8" w:color="auto"/>
            </w:tcBorders>
            <w:gridSpan w:val="2"/>
            <w:vMerge w:val="continue"/>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23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2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January 1 - January 31</w:t>
            </w:r>
          </w:p>
        </w:tc>
        <w:tc>
          <w:tcPr>
            <w:tcW w:w="2320" w:type="dxa"/>
            <w:vAlign w:val="bottom"/>
            <w:gridSpan w:val="2"/>
          </w:tcPr>
          <w:p>
            <w:pPr>
              <w:ind w:left="1940"/>
              <w:spacing w:after="0"/>
              <w:rPr>
                <w:sz w:val="20"/>
                <w:szCs w:val="20"/>
                <w:color w:val="auto"/>
              </w:rPr>
            </w:pPr>
            <w:r>
              <w:rPr>
                <w:rFonts w:ascii="Times New Roman" w:cs="Times New Roman" w:eastAsia="Times New Roman" w:hAnsi="Times New Roman"/>
                <w:sz w:val="17"/>
                <w:szCs w:val="17"/>
                <w:color w:val="auto"/>
              </w:rPr>
              <w:t>— $</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gridSpan w:val="2"/>
          </w:tcPr>
          <w:p>
            <w:pPr>
              <w:ind w:left="196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1 - February 29</w:t>
            </w:r>
          </w:p>
        </w:tc>
        <w:tc>
          <w:tcPr>
            <w:tcW w:w="2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March 1 - March 31</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30,818</w:t>
            </w: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30,818</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9,837,220</w:t>
            </w:r>
          </w:p>
        </w:tc>
        <w:tc>
          <w:tcPr>
            <w:tcW w:w="0" w:type="dxa"/>
            <w:vAlign w:val="bottom"/>
          </w:tcPr>
          <w:p>
            <w:pPr>
              <w:spacing w:after="0"/>
              <w:rPr>
                <w:sz w:val="1"/>
                <w:szCs w:val="1"/>
                <w:color w:val="auto"/>
              </w:rPr>
            </w:pPr>
          </w:p>
        </w:tc>
      </w:tr>
      <w:tr>
        <w:trPr>
          <w:trHeight w:val="241"/>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30,818</w:t>
            </w:r>
          </w:p>
        </w:tc>
        <w:tc>
          <w:tcPr>
            <w:tcW w:w="1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30,818</w:t>
            </w:r>
          </w:p>
        </w:tc>
        <w:tc>
          <w:tcPr>
            <w:tcW w:w="1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Does not include broker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1" w:name="page32"/>
    <w:bookmarkEnd w:id="31"/>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p>
      <w:pPr>
        <w:spacing w:after="0" w:line="30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0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60" w:type="dxa"/>
            <w:vAlign w:val="bottom"/>
          </w:tcPr>
          <w:p>
            <w:pPr>
              <w:jc w:val="center"/>
              <w:ind w:left="107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0" w:type="dxa"/>
            <w:vAlign w:val="bottom"/>
          </w:tcPr>
          <w:p>
            <w:pPr>
              <w:spacing w:after="0"/>
              <w:rPr>
                <w:sz w:val="1"/>
                <w:szCs w:val="1"/>
                <w:color w:val="auto"/>
              </w:rPr>
            </w:pPr>
          </w:p>
        </w:tc>
      </w:tr>
      <w:tr>
        <w:trPr>
          <w:trHeight w:val="184"/>
        </w:trPr>
        <w:tc>
          <w:tcPr>
            <w:tcW w:w="1600" w:type="dxa"/>
            <w:vAlign w:val="bottom"/>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000" w:type="dxa"/>
            <w:vAlign w:val="bottom"/>
            <w:vMerge w:val="continue"/>
          </w:tcPr>
          <w:p>
            <w:pPr>
              <w:spacing w:after="0"/>
              <w:rPr>
                <w:sz w:val="16"/>
                <w:szCs w:val="16"/>
                <w:color w:val="auto"/>
              </w:rPr>
            </w:pPr>
          </w:p>
        </w:tc>
        <w:tc>
          <w:tcPr>
            <w:tcW w:w="2060" w:type="dxa"/>
            <w:vAlign w:val="bottom"/>
          </w:tcPr>
          <w:p>
            <w:pPr>
              <w:jc w:val="center"/>
              <w:ind w:left="1070"/>
              <w:spacing w:after="0"/>
              <w:rPr>
                <w:sz w:val="20"/>
                <w:szCs w:val="20"/>
                <w:color w:val="auto"/>
              </w:rPr>
            </w:pPr>
            <w:r>
              <w:rPr>
                <w:rFonts w:ascii="Times New Roman" w:cs="Times New Roman" w:eastAsia="Times New Roman" w:hAnsi="Times New Roman"/>
                <w:sz w:val="14"/>
                <w:szCs w:val="14"/>
                <w:b w:val="1"/>
                <w:bCs w:val="1"/>
                <w:color w:val="auto"/>
              </w:rPr>
              <w:t>this Form 10-Q</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44913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91355" cy="8255"/>
                    </a:xfrm>
                    <a:prstGeom prst="rect">
                      <a:avLst/>
                    </a:prstGeom>
                    <a:noFill/>
                  </pic:spPr>
                </pic:pic>
              </a:graphicData>
            </a:graphic>
          </wp:anchor>
        </w:drawing>
      </w:r>
    </w:p>
    <w:p>
      <w:pPr>
        <w:ind w:left="640"/>
        <w:spacing w:after="0"/>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u w:val="single" w:color="auto"/>
            <w:color w:val="0000FF"/>
          </w:rPr>
          <w:t>3.1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Certificate of Incorporation, as amended</w:t>
      </w:r>
    </w:p>
    <w:p>
      <w:pPr>
        <w:spacing w:after="0" w:line="7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 of Designations of Series A Junior Participating</w:t>
            </w:r>
          </w:p>
        </w:tc>
        <w:tc>
          <w:tcPr>
            <w:tcW w:w="44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180" w:type="dxa"/>
            <w:vAlign w:val="bottom"/>
          </w:tcPr>
          <w:p>
            <w:pPr>
              <w:ind w:left="140"/>
              <w:spacing w:after="0" w:line="150" w:lineRule="exact"/>
              <w:rPr>
                <w:sz w:val="20"/>
                <w:szCs w:val="20"/>
                <w:color w:val="auto"/>
              </w:rPr>
            </w:pPr>
            <w:r>
              <w:rPr>
                <w:rFonts w:ascii="Times New Roman" w:cs="Times New Roman" w:eastAsia="Times New Roman" w:hAnsi="Times New Roman"/>
                <w:sz w:val="17"/>
                <w:szCs w:val="17"/>
                <w:color w:val="auto"/>
              </w:rPr>
              <w:t>Cumulative Preferred Stock of KVH Industries, Inc. classifying</w:t>
            </w:r>
          </w:p>
        </w:tc>
        <w:tc>
          <w:tcPr>
            <w:tcW w:w="440" w:type="dxa"/>
            <w:vAlign w:val="bottom"/>
          </w:tcPr>
          <w:p>
            <w:pPr>
              <w:spacing w:after="0"/>
              <w:rPr>
                <w:sz w:val="13"/>
                <w:szCs w:val="13"/>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and designating the Series A Junior Participating Cumulative</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440" w:type="dxa"/>
            <w:vAlign w:val="bottom"/>
          </w:tcPr>
          <w:p>
            <w:pPr>
              <w:spacing w:after="0"/>
              <w:rPr>
                <w:sz w:val="19"/>
                <w:szCs w:val="19"/>
                <w:color w:val="auto"/>
              </w:rPr>
            </w:pPr>
          </w:p>
        </w:tc>
      </w:tr>
      <w:tr>
        <w:trPr>
          <w:trHeight w:val="231"/>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Amended and Restated Bylaws</w:t>
            </w:r>
          </w:p>
        </w:tc>
        <w:tc>
          <w:tcPr>
            <w:tcW w:w="44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5"/>
        </w:trPr>
        <w:tc>
          <w:tcPr>
            <w:tcW w:w="320" w:type="dxa"/>
            <w:vAlign w:val="bottom"/>
            <w:gridSpan w:val="2"/>
          </w:tcPr>
          <w:p>
            <w:pPr>
              <w:jc w:val="right"/>
              <w:spacing w:after="0"/>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Specimen certificate for the common stock</w:t>
            </w:r>
          </w:p>
        </w:tc>
        <w:tc>
          <w:tcPr>
            <w:tcW w:w="440" w:type="dxa"/>
            <w:vAlign w:val="bottom"/>
          </w:tcPr>
          <w:p>
            <w:pPr>
              <w:spacing w:after="0"/>
              <w:rPr>
                <w:sz w:val="22"/>
                <w:szCs w:val="22"/>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5"/>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Rule 13a-14(a)/15d-14(a) certification of principal executive</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440" w:type="dxa"/>
            <w:vAlign w:val="bottom"/>
          </w:tcPr>
          <w:p>
            <w:pPr>
              <w:spacing w:after="0"/>
              <w:rPr>
                <w:sz w:val="18"/>
                <w:szCs w:val="18"/>
                <w:color w:val="auto"/>
              </w:rPr>
            </w:pPr>
          </w:p>
        </w:tc>
      </w:tr>
      <w:tr>
        <w:trPr>
          <w:trHeight w:val="231"/>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Rule 13a-14(a)/15d-14(a) certification of principal financial</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440" w:type="dxa"/>
            <w:vAlign w:val="bottom"/>
          </w:tcPr>
          <w:p>
            <w:pPr>
              <w:spacing w:after="0"/>
              <w:rPr>
                <w:sz w:val="18"/>
                <w:szCs w:val="18"/>
                <w:color w:val="auto"/>
              </w:rPr>
            </w:pPr>
          </w:p>
        </w:tc>
      </w:tr>
      <w:tr>
        <w:trPr>
          <w:trHeight w:val="231"/>
        </w:trPr>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Section 1350 certification of principal executive officer and</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08"/>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440" w:type="dxa"/>
            <w:vAlign w:val="bottom"/>
          </w:tcPr>
          <w:p>
            <w:pPr>
              <w:spacing w:after="0"/>
              <w:rPr>
                <w:sz w:val="18"/>
                <w:szCs w:val="18"/>
                <w:color w:val="auto"/>
              </w:rPr>
            </w:pPr>
          </w:p>
        </w:tc>
      </w:tr>
      <w:tr>
        <w:trPr>
          <w:trHeight w:val="226"/>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101</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following financial information from KVH Industries, Inc.'s</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Quarterly Report on Form 10-Q for the quarter ended March 31,</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2025, formatted in Inline XBRL (Extensible Business Reporting</w:t>
            </w:r>
          </w:p>
        </w:tc>
        <w:tc>
          <w:tcPr>
            <w:tcW w:w="44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Language): (i) the Consolidated Balance Sheets (unaudited), (ii)</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the Consolidated Statements of Operations (unaudited), (iii) the</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Consolidated Statements of Comprehensive Loss (unaudited), (iv)</w:t>
            </w:r>
          </w:p>
        </w:tc>
        <w:tc>
          <w:tcPr>
            <w:tcW w:w="44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the Consolidated Statements of Stockholders' Equity (unaudited),</w:t>
            </w:r>
          </w:p>
        </w:tc>
        <w:tc>
          <w:tcPr>
            <w:tcW w:w="440" w:type="dxa"/>
            <w:vAlign w:val="bottom"/>
          </w:tcPr>
          <w:p>
            <w:pPr>
              <w:spacing w:after="0"/>
              <w:rPr>
                <w:sz w:val="15"/>
                <w:szCs w:val="15"/>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(v) the Consolidated Statements of Cash Flows (unaudited), and</w:t>
            </w:r>
          </w:p>
        </w:tc>
        <w:tc>
          <w:tcPr>
            <w:tcW w:w="440" w:type="dxa"/>
            <w:vAlign w:val="bottom"/>
          </w:tcPr>
          <w:p>
            <w:pPr>
              <w:spacing w:after="0"/>
              <w:rPr>
                <w:sz w:val="15"/>
                <w:szCs w:val="15"/>
                <w:color w:val="auto"/>
              </w:rPr>
            </w:pPr>
          </w:p>
        </w:tc>
      </w:tr>
      <w:tr>
        <w:trPr>
          <w:trHeight w:val="170"/>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8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(vi) the Notes to Consolidated Interim Financial Statements</w:t>
            </w:r>
          </w:p>
        </w:tc>
        <w:tc>
          <w:tcPr>
            <w:tcW w:w="440" w:type="dxa"/>
            <w:vAlign w:val="bottom"/>
          </w:tcPr>
          <w:p>
            <w:pPr>
              <w:spacing w:after="0"/>
              <w:rPr>
                <w:sz w:val="14"/>
                <w:szCs w:val="14"/>
                <w:color w:val="auto"/>
              </w:rPr>
            </w:pP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(unaudited).</w:t>
            </w:r>
          </w:p>
        </w:tc>
        <w:tc>
          <w:tcPr>
            <w:tcW w:w="440" w:type="dxa"/>
            <w:vAlign w:val="bottom"/>
          </w:tcPr>
          <w:p>
            <w:pPr>
              <w:spacing w:after="0"/>
              <w:rPr>
                <w:sz w:val="19"/>
                <w:szCs w:val="19"/>
                <w:color w:val="auto"/>
              </w:rPr>
            </w:pPr>
          </w:p>
        </w:tc>
      </w:tr>
      <w:tr>
        <w:trPr>
          <w:trHeight w:val="265"/>
        </w:trPr>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104</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44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1"/>
              </w:rPr>
              <w:t>X</w:t>
            </w:r>
          </w:p>
        </w:tc>
      </w:tr>
      <w:tr>
        <w:trPr>
          <w:trHeight w:val="228"/>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document)</w:t>
            </w:r>
          </w:p>
        </w:tc>
        <w:tc>
          <w:tcPr>
            <w:tcW w:w="440" w:type="dxa"/>
            <w:vAlign w:val="bottom"/>
          </w:tcPr>
          <w:p>
            <w:pPr>
              <w:spacing w:after="0"/>
              <w:rPr>
                <w:sz w:val="19"/>
                <w:szCs w:val="19"/>
                <w:color w:val="auto"/>
              </w:rPr>
            </w:pPr>
          </w:p>
        </w:tc>
      </w:tr>
      <w:tr>
        <w:trPr>
          <w:trHeight w:val="904"/>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ind w:left="4680"/>
              <w:spacing w:after="0"/>
              <w:rPr>
                <w:sz w:val="20"/>
                <w:szCs w:val="20"/>
                <w:color w:val="auto"/>
              </w:rPr>
            </w:pPr>
            <w:r>
              <w:rPr>
                <w:rFonts w:ascii="Times New Roman" w:cs="Times New Roman" w:eastAsia="Times New Roman" w:hAnsi="Times New Roman"/>
                <w:sz w:val="17"/>
                <w:szCs w:val="17"/>
                <w:color w:val="auto"/>
              </w:rPr>
              <w:t>32</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r>
      <w:tr>
        <w:trPr>
          <w:trHeight w:val="227"/>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10-Q</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6, 2010</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27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19,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799"/>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1,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7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bl>
    <w:p>
      <w:pPr>
        <w:sectPr>
          <w:pgSz w:w="11900" w:h="16838" w:orient="portrait"/>
          <w:cols w:equalWidth="0" w:num="2">
            <w:col w:w="6880" w:space="300"/>
            <w:col w:w="4040"/>
          </w:cols>
          <w:pgMar w:left="320" w:top="748" w:right="359" w:bottom="1440" w:gutter="0" w:footer="0" w:header="0"/>
        </w:sectPr>
      </w:pPr>
    </w:p>
    <w:bookmarkStart w:id="32" w:name="page33"/>
    <w:bookmarkEnd w:id="32"/>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Date: May 7, 2025</w:t>
      </w:r>
    </w:p>
    <w:p>
      <w:pPr>
        <w:spacing w:after="0" w:line="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KVH Industries, Inc.</w:t>
      </w:r>
    </w:p>
    <w:p>
      <w:pPr>
        <w:spacing w:after="0" w:line="80" w:lineRule="exact"/>
        <w:rPr>
          <w:sz w:val="20"/>
          <w:szCs w:val="20"/>
          <w:color w:val="auto"/>
        </w:rPr>
      </w:pPr>
    </w:p>
    <w:p>
      <w:pPr>
        <w:ind w:left="5240"/>
        <w:spacing w:after="0"/>
        <w:tabs>
          <w:tab w:leader="none" w:pos="76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20320</wp:posOffset>
            </wp:positionV>
            <wp:extent cx="34766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1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b w:val="1"/>
          <w:bCs w:val="1"/>
          <w:color w:val="auto"/>
        </w:rPr>
        <w:t>Anthony F. Pike</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(Duly Authorized Officer and Chief Financial</w:t>
      </w:r>
    </w:p>
    <w:p>
      <w:pPr>
        <w:ind w:left="822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920"/>
          </w:cols>
          <w:pgMar w:left="320" w:top="1010" w:right="6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C. Bruun, certify that:</w:t>
      </w:r>
    </w:p>
    <w:p>
      <w:pPr>
        <w:spacing w:after="0" w:line="119" w:lineRule="exact"/>
        <w:rPr>
          <w:sz w:val="20"/>
          <w:szCs w:val="20"/>
          <w:color w:val="auto"/>
        </w:rPr>
      </w:pPr>
    </w:p>
    <w:p>
      <w:pPr>
        <w:ind w:left="640" w:hanging="321"/>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2025</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Brent C. Bruun</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ectPr>
          <w:pgSz w:w="11900" w:h="16838" w:orient="portrait"/>
          <w:cols w:equalWidth="0" w:num="1">
            <w:col w:w="11240"/>
          </w:cols>
          <w:pgMar w:left="320" w:top="8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F. Pike, certify that:</w:t>
      </w:r>
    </w:p>
    <w:p>
      <w:pPr>
        <w:spacing w:after="0" w:line="119"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2025</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Anthony F. Pike</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6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KVH Industries, Inc. (the “Company”) for the quarter ended March 31, 2025,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78" w:lineRule="exact"/>
        <w:rPr>
          <w:sz w:val="20"/>
          <w:szCs w:val="20"/>
          <w:color w:val="auto"/>
        </w:rPr>
      </w:pPr>
    </w:p>
    <w:p>
      <w:pPr>
        <w:ind w:left="640" w:hanging="321"/>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Act of 1934; and</w:t>
      </w:r>
    </w:p>
    <w:p>
      <w:pPr>
        <w:spacing w:after="0" w:line="9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 Brent C. Bruun</w:t>
            </w:r>
          </w:p>
        </w:tc>
        <w:tc>
          <w:tcPr>
            <w:tcW w:w="2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Anthony F. Pike</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Brent C. Bruun</w:t>
            </w:r>
          </w:p>
        </w:tc>
        <w:tc>
          <w:tcPr>
            <w:tcW w:w="2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Anthony F. Pike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52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7, 2025</w:t>
            </w:r>
          </w:p>
        </w:tc>
        <w:tc>
          <w:tcPr>
            <w:tcW w:w="1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Date: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7, 2025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7"/>
    </w:lvl>
  </w:abstractNum>
  <w:abstractNum w:abstractNumId="6">
    <w:nsid w:val="7FDCC233"/>
    <w:multiLevelType w:val="hybridMultilevel"/>
    <w:lvl w:ilvl="0">
      <w:lvlJc w:val="left"/>
      <w:lvlText w:val="(%1)"/>
      <w:numFmt w:val="decimal"/>
      <w:start w:val="8"/>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4"/>
    </w:lvl>
  </w:abstractNum>
  <w:abstractNum w:abstractNumId="13">
    <w:nsid w:val="431BD7B7"/>
    <w:multiLevelType w:val="hybridMultilevel"/>
    <w:lvl w:ilvl="0">
      <w:lvlJc w:val="left"/>
      <w:lvlText w:val="(%1)"/>
      <w:numFmt w:val="decimal"/>
      <w:start w:val="15"/>
    </w:lvl>
  </w:abstractNum>
  <w:abstractNum w:abstractNumId="14">
    <w:nsid w:val="3F2DBA31"/>
    <w:multiLevelType w:val="hybridMultilevel"/>
    <w:lvl w:ilvl="0">
      <w:lvlJc w:val="left"/>
      <w:lvlText w:val="(%1)"/>
      <w:numFmt w:val="decimal"/>
      <w:start w:val="16"/>
    </w:lvl>
  </w:abstractNum>
  <w:abstractNum w:abstractNumId="15">
    <w:nsid w:val="7C83E458"/>
    <w:multiLevelType w:val="hybridMultilevel"/>
    <w:lvl w:ilvl="0">
      <w:lvlJc w:val="left"/>
      <w:lvlText w:val="(%1)"/>
      <w:numFmt w:val="decimal"/>
      <w:start w:val="17"/>
    </w:lvl>
  </w:abstractNum>
  <w:abstractNum w:abstractNumId="16">
    <w:nsid w:val="257130A3"/>
    <w:multiLevelType w:val="hybridMultilevel"/>
    <w:lvl w:ilvl="0">
      <w:lvlJc w:val="left"/>
      <w:lvlText w:val="(%1)"/>
      <w:numFmt w:val="decimal"/>
      <w:start w:val="18"/>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9"/>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45" Type="http://schemas.openxmlformats.org/officeDocument/2006/relationships/hyperlink" Target="https://www.sec.gov/Archives/edgar/data/1007587/000119312510179682/dex31.htm" TargetMode="External"/><Relationship Id="rId46" Type="http://schemas.openxmlformats.org/officeDocument/2006/relationships/hyperlink" Target="https://www.sec.gov/Archives/edgar/data/1007587/000110465922092774/tm2223782d1_ex3-1.htm" TargetMode="External"/><Relationship Id="rId47" Type="http://schemas.openxmlformats.org/officeDocument/2006/relationships/hyperlink" Target="https://www.sec.gov/Archives/edgar/data/1007587/000100758717000038/kvhi1101201710qex32.htm" TargetMode="External"/><Relationship Id="rId48" Type="http://schemas.openxmlformats.org/officeDocument/2006/relationships/hyperlink" Target="https://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2025-05-07T14:44:43Z</dcterms:created>
  <dcterms:modified xsi:type="dcterms:W3CDTF">2025-05-07T14:44:43Z</dcterms:modified>
</cp:coreProperties>
</file>