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0-28082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KVH Industries,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49" w:type="dxa"/>
        <w:jc w:val="left"/>
        <w:tblInd w:w="0" w:type="dxa"/>
        <w:tblLayout w:type="fixed"/>
        <w:tblCellMar>
          <w:top w:w="28" w:type="dxa"/>
          <w:left w:w="28" w:type="dxa"/>
          <w:bottom w:w="28" w:type="dxa"/>
          <w:right w:w="28" w:type="dxa"/>
        </w:tblCellMar>
      </w:tblPr>
      <w:tblGrid>
        <w:gridCol w:w="1603"/>
        <w:gridCol w:w="1405"/>
        <w:gridCol w:w="1417"/>
        <w:gridCol w:w="852"/>
        <w:gridCol w:w="852"/>
        <w:gridCol w:w="1220"/>
      </w:tblGrid>
      <w:tr>
        <w:trPr/>
        <w:tc>
          <w:tcPr>
            <w:tcW w:w="160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05-0420589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 Wood Street, Unit 320, Bristol, RI 02809</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(401) 847-3327</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Securities registered pursuant to Section 12(b) of the Act:</w:t>
      </w:r>
    </w:p>
    <w:tbl>
      <w:tblPr>
        <w:tblW w:w="7933" w:type="dxa"/>
        <w:jc w:val="center"/>
        <w:tblInd w:w="0" w:type="dxa"/>
        <w:tblLayout w:type="fixed"/>
        <w:tblCellMar>
          <w:top w:w="28" w:type="dxa"/>
          <w:left w:w="28" w:type="dxa"/>
          <w:bottom w:w="28" w:type="dxa"/>
          <w:right w:w="28" w:type="dxa"/>
        </w:tblCellMar>
      </w:tblPr>
      <w:tblGrid>
        <w:gridCol w:w="1104"/>
        <w:gridCol w:w="975"/>
        <w:gridCol w:w="981"/>
        <w:gridCol w:w="484"/>
        <w:gridCol w:w="484"/>
        <w:gridCol w:w="486"/>
        <w:gridCol w:w="1000"/>
        <w:gridCol w:w="1000"/>
        <w:gridCol w:w="1419"/>
      </w:tblGrid>
      <w:tr>
        <w:trPr/>
        <w:tc>
          <w:tcPr>
            <w:tcW w:w="110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KVHI</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31"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181" w:type="dxa"/>
        <w:jc w:val="left"/>
        <w:tblInd w:w="0" w:type="dxa"/>
        <w:tblLayout w:type="fixed"/>
        <w:tblCellMar>
          <w:top w:w="28" w:type="dxa"/>
          <w:left w:w="28" w:type="dxa"/>
          <w:bottom w:w="28" w:type="dxa"/>
          <w:right w:w="28" w:type="dxa"/>
        </w:tblCellMar>
      </w:tblPr>
      <w:tblGrid>
        <w:gridCol w:w="414"/>
        <w:gridCol w:w="365"/>
        <w:gridCol w:w="375"/>
        <w:gridCol w:w="1157"/>
        <w:gridCol w:w="1157"/>
        <w:gridCol w:w="1167"/>
        <w:gridCol w:w="452"/>
        <w:gridCol w:w="452"/>
        <w:gridCol w:w="642"/>
      </w:tblGrid>
      <w:tr>
        <w:trPr/>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Outstanding shares</w:t>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19,497,751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536"/>
        <w:gridCol w:w="469"/>
        <w:gridCol w:w="469"/>
        <w:gridCol w:w="2656"/>
        <w:gridCol w:w="2602"/>
        <w:gridCol w:w="2569"/>
        <w:gridCol w:w="264"/>
        <w:gridCol w:w="264"/>
        <w:gridCol w:w="376"/>
      </w:tblGrid>
      <w:tr>
        <w:trPr/>
        <w:tc>
          <w:tcPr>
            <w:tcW w:w="5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 No.</w:t>
            </w:r>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0">
              <w:r>
                <w:rPr>
                  <w:rStyle w:val="InternetLink"/>
                  <w:rFonts w:ascii="Times New Roman;serif" w:hAnsi="Times New Roman;serif"/>
                  <w:b/>
                  <w:color w:val="0000FF"/>
                  <w:sz w:val="20"/>
                  <w:u w:val="single"/>
                </w:rPr>
                <w:t>PART I. FINANCIAL INFORMATION</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3">
              <w:r>
                <w:rPr>
                  <w:rStyle w:val="InternetLink"/>
                  <w:rFonts w:ascii="Times New Roman;serif" w:hAnsi="Times New Roman;serif"/>
                  <w:b w:val="false"/>
                  <w:color w:val="0000FF"/>
                  <w:sz w:val="20"/>
                  <w:u w:val="single"/>
                </w:rPr>
                <w:t>INTERIM FINANCIAL STATEMENTS</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Balance Sheets as of March 31, 2026 (unaudited) and December 31, 2025</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6">
              <w:r>
                <w:rPr>
                  <w:rStyle w:val="InternetLink"/>
                  <w:rFonts w:ascii="Times New Roman;serif" w:hAnsi="Times New Roman;serif"/>
                  <w:b w:val="false"/>
                  <w:color w:val="0000FF"/>
                  <w:sz w:val="20"/>
                  <w:u w:val="single"/>
                </w:rPr>
                <w:t>3</w:t>
              </w:r>
            </w:hyperlink>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Operations for the three months ended March 31,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9">
              <w:r>
                <w:rPr>
                  <w:rStyle w:val="InternetLink"/>
                  <w:rFonts w:ascii="Times New Roman;serif" w:hAnsi="Times New Roman;serif"/>
                  <w:b w:val="false"/>
                  <w:color w:val="0000FF"/>
                  <w:sz w:val="20"/>
                  <w:u w:val="single"/>
                </w:rPr>
                <w:t>4</w:t>
              </w:r>
            </w:hyperlink>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Comprehensive Income (Loss) for the three months ended March 31,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22">
              <w:r>
                <w:rPr>
                  <w:rStyle w:val="InternetLink"/>
                  <w:rFonts w:ascii="Times New Roman;serif" w:hAnsi="Times New Roman;serif"/>
                  <w:b w:val="false"/>
                  <w:color w:val="0000FF"/>
                  <w:sz w:val="20"/>
                  <w:u w:val="single"/>
                </w:rPr>
                <w:t>5</w:t>
              </w:r>
            </w:hyperlink>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Stockholders’ Equity for the three months ended March 31,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25">
              <w:r>
                <w:rPr>
                  <w:rStyle w:val="InternetLink"/>
                  <w:rFonts w:ascii="Times New Roman;serif" w:hAnsi="Times New Roman;serif"/>
                  <w:b w:val="false"/>
                  <w:color w:val="0000FF"/>
                  <w:sz w:val="20"/>
                  <w:u w:val="single"/>
                </w:rPr>
                <w:t>6</w:t>
              </w:r>
            </w:hyperlink>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Cash Flows for the three months ended March 31,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28">
              <w:r>
                <w:rPr>
                  <w:rStyle w:val="InternetLink"/>
                  <w:rFonts w:ascii="Times New Roman;serif" w:hAnsi="Times New Roman;serif"/>
                  <w:b w:val="false"/>
                  <w:color w:val="0000FF"/>
                  <w:sz w:val="20"/>
                  <w:u w:val="single"/>
                </w:rPr>
                <w:t>7</w:t>
              </w:r>
            </w:hyperlink>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31">
              <w:r>
                <w:rPr>
                  <w:rStyle w:val="InternetLink"/>
                  <w:rFonts w:ascii="Times New Roman;serif" w:hAnsi="Times New Roman;serif"/>
                  <w:b w:val="false"/>
                  <w:color w:val="0000FF"/>
                  <w:sz w:val="20"/>
                  <w:u w:val="single"/>
                </w:rPr>
                <w:t>Notes to Consolidated Financial Statements (unaudited)</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31">
              <w:r>
                <w:rPr>
                  <w:rStyle w:val="InternetLink"/>
                  <w:rFonts w:ascii="Times New Roman;serif" w:hAnsi="Times New Roman;serif"/>
                  <w:b w:val="false"/>
                  <w:color w:val="0000FF"/>
                  <w:sz w:val="20"/>
                  <w:u w:val="single"/>
                </w:rPr>
                <w:t>8</w:t>
              </w:r>
            </w:hyperlink>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a1cda31fa14a7cbb3f3d2e3819e6c3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24">
              <w:r>
                <w:rPr>
                  <w:rStyle w:val="InternetLink"/>
                  <w:rFonts w:ascii="Times New Roman;serif" w:hAnsi="Times New Roman;serif"/>
                  <w:b w:val="false"/>
                  <w:color w:val="0000FF"/>
                  <w:sz w:val="20"/>
                  <w:u w:val="single"/>
                </w:rPr>
                <w:t>23</w:t>
              </w:r>
            </w:hyperlink>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51">
              <w:r>
                <w:rPr>
                  <w:rStyle w:val="InternetLink"/>
                  <w:rFonts w:ascii="Times New Roman;serif" w:hAnsi="Times New Roman;serif"/>
                  <w:b w:val="false"/>
                  <w:color w:val="0000FF"/>
                  <w:sz w:val="20"/>
                  <w:u w:val="single"/>
                </w:rPr>
                <w:t>CONTROLS AND PROCEDURES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51">
              <w:r>
                <w:rPr>
                  <w:rStyle w:val="InternetLink"/>
                  <w:rFonts w:ascii="Times New Roman;serif" w:hAnsi="Times New Roman;serif"/>
                  <w:b w:val="false"/>
                  <w:color w:val="0000FF"/>
                  <w:sz w:val="20"/>
                  <w:u w:val="single"/>
                </w:rPr>
                <w:t>29</w:t>
              </w:r>
            </w:hyperlink>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54">
              <w:r>
                <w:rPr>
                  <w:rStyle w:val="InternetLink"/>
                  <w:rFonts w:ascii="Times New Roman;serif" w:hAnsi="Times New Roman;serif"/>
                  <w:b/>
                  <w:color w:val="0000FF"/>
                  <w:sz w:val="20"/>
                  <w:u w:val="single"/>
                </w:rPr>
                <w:t>PART II. OTHER INFORMATION</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78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78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66">
              <w:r>
                <w:rPr>
                  <w:rStyle w:val="InternetLink"/>
                  <w:rFonts w:ascii="Times New Roman;serif" w:hAnsi="Times New Roman;serif"/>
                  <w:b w:val="false"/>
                  <w:color w:val="0000FF"/>
                  <w:sz w:val="20"/>
                  <w:u w:val="single"/>
                </w:rPr>
                <w:t>UNREGISTERED SALES OF EQUITY SECURITIES AND USE OF PROCEEDS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66">
              <w:r>
                <w:rPr>
                  <w:rStyle w:val="InternetLink"/>
                  <w:rFonts w:ascii="Times New Roman;serif" w:hAnsi="Times New Roman;serif"/>
                  <w:b w:val="false"/>
                  <w:color w:val="0000FF"/>
                  <w:sz w:val="20"/>
                  <w:u w:val="single"/>
                </w:rPr>
                <w:t>30</w:t>
              </w:r>
            </w:hyperlink>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69">
              <w:r>
                <w:rPr>
                  <w:rStyle w:val="InternetLink"/>
                  <w:rFonts w:ascii="Times New Roman;serif" w:hAnsi="Times New Roman;serif"/>
                  <w:b w:val="false"/>
                  <w:color w:val="0000FF"/>
                  <w:sz w:val="20"/>
                  <w:u w:val="single"/>
                </w:rPr>
                <w:t>OTHER INFORMATION</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69">
              <w:r>
                <w:rPr>
                  <w:rStyle w:val="InternetLink"/>
                  <w:rFonts w:ascii="Times New Roman;serif" w:hAnsi="Times New Roman;serif"/>
                  <w:b w:val="false"/>
                  <w:color w:val="0000FF"/>
                  <w:sz w:val="20"/>
                  <w:u w:val="single"/>
                </w:rPr>
                <w:t>30</w:t>
              </w:r>
            </w:hyperlink>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72">
              <w:r>
                <w:rPr>
                  <w:rStyle w:val="InternetLink"/>
                  <w:rFonts w:ascii="Times New Roman;serif" w:hAnsi="Times New Roman;serif"/>
                  <w:b w:val="false"/>
                  <w:color w:val="0000FF"/>
                  <w:sz w:val="20"/>
                  <w:u w:val="single"/>
                </w:rPr>
                <w:t>EXHIBITS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72">
              <w:r>
                <w:rPr>
                  <w:rStyle w:val="InternetLink"/>
                  <w:rFonts w:ascii="Times New Roman;serif" w:hAnsi="Times New Roman;serif"/>
                  <w:b w:val="false"/>
                  <w:color w:val="0000FF"/>
                  <w:sz w:val="20"/>
                  <w:u w:val="single"/>
                </w:rPr>
                <w:t>31</w:t>
              </w:r>
            </w:hyperlink>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0a1cda31fa14a7cbb3f3d2e3819e6c3_175">
              <w:r>
                <w:rPr>
                  <w:rStyle w:val="InternetLink"/>
                  <w:rFonts w:ascii="Times New Roman;serif" w:hAnsi="Times New Roman;serif"/>
                  <w:b w:val="false"/>
                  <w:color w:val="0000FF"/>
                  <w:sz w:val="20"/>
                  <w:u w:val="single"/>
                </w:rPr>
                <w:t>SIGNATURE</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a1cda31fa14a7cbb3f3d2e3819e6c3_175">
              <w:r>
                <w:rPr>
                  <w:rStyle w:val="InternetLink"/>
                  <w:rFonts w:ascii="Times New Roman;serif" w:hAnsi="Times New Roman;serif"/>
                  <w:b w:val="false"/>
                  <w:color w:val="0000FF"/>
                  <w:sz w:val="20"/>
                  <w:u w:val="single"/>
                </w:rPr>
                <w:t>32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CONSOLIDATED BALANCE SHEETS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056"/>
        <w:gridCol w:w="2226"/>
        <w:gridCol w:w="2219"/>
        <w:gridCol w:w="208"/>
        <w:gridCol w:w="799"/>
        <w:gridCol w:w="116"/>
        <w:gridCol w:w="109"/>
        <w:gridCol w:w="109"/>
        <w:gridCol w:w="109"/>
        <w:gridCol w:w="222"/>
        <w:gridCol w:w="853"/>
        <w:gridCol w:w="179"/>
      </w:tblGrid>
      <w:tr>
        <w:trPr/>
        <w:tc>
          <w:tcPr>
            <w:tcW w:w="305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$742 and $712 as of March 31, 2026 and December 31, 2025, respectively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current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117,798 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154,565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151,500</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airtime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employee-related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product warranty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uncertain tax positions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liability</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23,038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20,516</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(Notes 2, 10, and 15)</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Authorized 1,000,000 shares; none issued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30,000,000 shares; 21,294,283 and 21,294,655 shares issued at March 31, 2026 and December 31, 2025, respectively; and 19,477,178 and 19,511,836 shares outstanding at March 31, 2026 and December 31, 2025, respectively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treasury stock at cost, common stock, 1,817,105 and 1,782,819 shares as of March 31, 2026 and December 31, 2025, respectively.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131,527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130,984</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154,565</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151,500</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9130"/>
                <wp:effectExtent l="0" t="0" r="0" b="0"/>
                <wp:wrapNone/>
                <wp:docPr id="3" name="Frame3"/>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KVH INDUSTRIES, INC. AND SUBSIDIARIES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earnings per share amounts, unaudited)</w:t>
      </w:r>
    </w:p>
    <w:p>
      <w:pPr>
        <w:pStyle w:val="TextBody"/>
        <w:bidi w:val="0"/>
        <w:spacing w:lineRule="auto" w:line="288" w:before="0" w:after="0"/>
        <w:jc w:val="left"/>
        <w:rPr>
          <w:color w:val="000000"/>
        </w:rPr>
      </w:pPr>
      <w:r>
        <w:rPr>
          <w:color w:val="000000"/>
        </w:rPr>
        <w:t> </w:t>
      </w:r>
    </w:p>
    <w:tbl>
      <w:tblPr>
        <w:tblW w:w="8275" w:type="dxa"/>
        <w:jc w:val="left"/>
        <w:tblInd w:w="0" w:type="dxa"/>
        <w:tblLayout w:type="fixed"/>
        <w:tblCellMar>
          <w:top w:w="28" w:type="dxa"/>
          <w:left w:w="28" w:type="dxa"/>
          <w:bottom w:w="28" w:type="dxa"/>
          <w:right w:w="28" w:type="dxa"/>
        </w:tblCellMar>
      </w:tblPr>
      <w:tblGrid>
        <w:gridCol w:w="1814"/>
        <w:gridCol w:w="1594"/>
        <w:gridCol w:w="1631"/>
        <w:gridCol w:w="109"/>
        <w:gridCol w:w="109"/>
        <w:gridCol w:w="139"/>
        <w:gridCol w:w="139"/>
        <w:gridCol w:w="269"/>
        <w:gridCol w:w="919"/>
        <w:gridCol w:w="139"/>
        <w:gridCol w:w="109"/>
        <w:gridCol w:w="109"/>
        <w:gridCol w:w="109"/>
        <w:gridCol w:w="211"/>
        <w:gridCol w:w="721"/>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19,331</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19,427</w:t>
            </w:r>
            <w:r>
              <w:rPr>
                <w:color w:val="000000"/>
              </w:rPr>
              <w:t>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19,492</w:t>
            </w: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9130"/>
                <wp:effectExtent l="0" t="0" r="0" b="0"/>
                <wp:wrapNone/>
                <wp:docPr id="4" name="Frame4"/>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COMPREHENSIVE INCOME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unaudited)</w:t>
      </w:r>
    </w:p>
    <w:p>
      <w:pPr>
        <w:pStyle w:val="TextBody"/>
        <w:bidi w:val="0"/>
        <w:spacing w:lineRule="auto" w:line="288" w:before="0" w:after="0"/>
        <w:jc w:val="left"/>
        <w:rPr>
          <w:color w:val="000000"/>
        </w:rPr>
      </w:pPr>
      <w:r>
        <w:rPr>
          <w:color w:val="000000"/>
        </w:rPr>
        <w:t> </w:t>
      </w:r>
    </w:p>
    <w:tbl>
      <w:tblPr>
        <w:tblW w:w="7209" w:type="dxa"/>
        <w:jc w:val="left"/>
        <w:tblInd w:w="0" w:type="dxa"/>
        <w:tblLayout w:type="fixed"/>
        <w:tblCellMar>
          <w:top w:w="28" w:type="dxa"/>
          <w:left w:w="28" w:type="dxa"/>
          <w:bottom w:w="28" w:type="dxa"/>
          <w:right w:w="28" w:type="dxa"/>
        </w:tblCellMar>
      </w:tblPr>
      <w:tblGrid>
        <w:gridCol w:w="1447"/>
        <w:gridCol w:w="1273"/>
        <w:gridCol w:w="1284"/>
        <w:gridCol w:w="109"/>
        <w:gridCol w:w="109"/>
        <w:gridCol w:w="174"/>
        <w:gridCol w:w="174"/>
        <w:gridCol w:w="337"/>
        <w:gridCol w:w="745"/>
        <w:gridCol w:w="174"/>
        <w:gridCol w:w="109"/>
        <w:gridCol w:w="109"/>
        <w:gridCol w:w="109"/>
        <w:gridCol w:w="211"/>
        <w:gridCol w:w="691"/>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 net of tax</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Tax impact was nominal for all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9130"/>
                <wp:effectExtent l="0" t="0" r="0" b="0"/>
                <wp:wrapNone/>
                <wp:docPr id="5" name="Frame5"/>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unaudited)</w:t>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885" w:type="dxa"/>
        <w:jc w:val="center"/>
        <w:tblInd w:w="0" w:type="dxa"/>
        <w:tblLayout w:type="fixed"/>
        <w:tblCellMar>
          <w:top w:w="28" w:type="dxa"/>
          <w:left w:w="28" w:type="dxa"/>
          <w:bottom w:w="28" w:type="dxa"/>
          <w:right w:w="28" w:type="dxa"/>
        </w:tblCellMar>
      </w:tblPr>
      <w:tblGrid>
        <w:gridCol w:w="634"/>
        <w:gridCol w:w="268"/>
        <w:gridCol w:w="269"/>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21,295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(4,161)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21,294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169,295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(19,547)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885" w:type="dxa"/>
        <w:jc w:val="center"/>
        <w:tblInd w:w="0" w:type="dxa"/>
        <w:tblLayout w:type="fixed"/>
        <w:tblCellMar>
          <w:top w:w="28" w:type="dxa"/>
          <w:left w:w="28" w:type="dxa"/>
          <w:bottom w:w="28" w:type="dxa"/>
          <w:right w:w="28" w:type="dxa"/>
        </w:tblCellMar>
      </w:tblPr>
      <w:tblGrid>
        <w:gridCol w:w="634"/>
        <w:gridCol w:w="268"/>
        <w:gridCol w:w="269"/>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21,241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(4,032)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138,625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21,220</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167,624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(3,310)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137,811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9130"/>
                <wp:effectExtent l="0" t="0" r="0" b="0"/>
                <wp:wrapNone/>
                <wp:docPr id="6" name="Frame6"/>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0"/>
        <w:jc w:val="center"/>
        <w:rPr/>
      </w:pPr>
      <w:r>
        <w:rPr>
          <w:rFonts w:ascii="Times New Roman;serif" w:hAnsi="Times New Roman;serif"/>
          <w:b/>
          <w:color w:val="000000"/>
          <w:sz w:val="16"/>
        </w:rPr>
        <w:t>(in thousands, unaudited)</w:t>
      </w:r>
      <w:r>
        <w:rPr>
          <w:color w:val="000000"/>
        </w:rPr>
        <w:t> </w:t>
      </w:r>
    </w:p>
    <w:tbl>
      <w:tblPr>
        <w:tblW w:w="8903" w:type="dxa"/>
        <w:jc w:val="center"/>
        <w:tblInd w:w="0" w:type="dxa"/>
        <w:tblLayout w:type="fixed"/>
        <w:tblCellMar>
          <w:top w:w="28" w:type="dxa"/>
          <w:left w:w="28" w:type="dxa"/>
          <w:bottom w:w="28" w:type="dxa"/>
          <w:right w:w="28" w:type="dxa"/>
        </w:tblCellMar>
      </w:tblPr>
      <w:tblGrid>
        <w:gridCol w:w="2390"/>
        <w:gridCol w:w="2097"/>
        <w:gridCol w:w="2112"/>
        <w:gridCol w:w="196"/>
        <w:gridCol w:w="661"/>
        <w:gridCol w:w="109"/>
        <w:gridCol w:w="109"/>
        <w:gridCol w:w="109"/>
        <w:gridCol w:w="109"/>
        <w:gridCol w:w="196"/>
        <w:gridCol w:w="661"/>
        <w:gridCol w:w="154"/>
      </w:tblGrid>
      <w:tr>
        <w:trPr/>
        <w:tc>
          <w:tcPr>
            <w:tcW w:w="2390"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disposals of fixed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related to stock-based awards and employee stock purchase plan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currency translation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product warranty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intangible asset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fixed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employee stock purchase plan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by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48,600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in accrued other and accounts payable related to property and equipment additions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9130"/>
                <wp:effectExtent l="0" t="0" r="0" b="0"/>
                <wp:wrapNone/>
                <wp:docPr id="7" name="Frame7"/>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Interim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all amounts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 Industries, Inc. (together with its subsidiaries, the Company or KVH) develops, markets, and supports mobile connectivity and managed services and products for the maritime and land markets.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service sales primarily represent revenue earned from satellite internet airtime services. In March 2023, KVH began selling terminals for the Starlink Low Earth Orbit (LEO) service and in September 2023 became a Starlink authorized hardware and airtime reseller. In October 2024, KVH expanded its portfolio to include Starlink Local Priority data plans, which is suitable for fixed and mobile uses on land and inland waterways, including lakes and rivers. KVH further expanded its LEO service and hardware portfolio in January 2025 with the launch of the Eutelsat OneWeb service for maritime applications. In addition, KVH provides, for monthly fixed and per-usage fees, satellite connectivity encompassing broadband internet and Voice over Internet Protocol (VoIP) services, to its TracNet® H-series and TracPhone® V-HTS series customers via KVH’s global high-throughput satellite (HTS) network. Following the July 2022 launch of the KVH ONE® hybrid network and TracNet H-series terminals and the subsequent introduction of the TracNet Coastal cellular/Wi-Fi terminal, KVH began to supplement its satellite-only airtime revenue with revenue from its cellular airtime service. KVH provides this combination of services and products in more than 130 countries. The May 2023 introduction of the KVH ONE OpenNet Program expanded access to KVH’s global HTS network and airtime services to non-KVH terminals.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AgilePlans, KVH’s connectivity as a service offering, is a monthly subscription model that provides global connectivity to commercial maritime customers. The subscription can include KVH VSAT terminals and data service, Starlink and Eutelsat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Eutelsat OneWeb terminal.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satellite-only and hybrid products enable maritime customers to receive data, VoIP, and value-added services via satellite, cellular, and shore-based Wi-Fi networks onboard commercial and leisure vessels. In addition, the Company’s in-motion television terminals permit customers to receive live digital television via regional satellite services in maritime vessels, recreational vehicles, buses and automobiles. KVH sells its products through an extensive international network of dealers and distributors. KVH also sells and leases products to service providers and end users.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maritime leisure business is highly seasonal. Seasonality can also impact the Company’s commercial maritime business, particularly the fishing market, although typically to a lesser degree. Temporary suspensions of the Company’s airtime services typically increase in the fourth and first quarters of each year as leisure boats are placed out of service during the winter months. Historically, the Company has generated the majority of its maritime leisure product revenues during the first and second quarters of each year, and these revenues typically decline in the third and fourth quarters of each year, compared to the first two quarters.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announced a staged wind-down of its product manufacturing operations.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its mobile satellite communications services.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2025 filed on March 10, 2026 with the Securities and Exchange Commission. The results for the three months ended March 31, 2026 are not necessarily indicative of operating results for the remainder of the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Estimates and Assumptions and Other Significant Non-Recurring Transactions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Foreign Currency Translation and Transaction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foreign subsidiaries located in Denmark, Singapore, Brazil and Cyprus are maintained using the United States dollar as the functional currency. Exchange rates in effect on the date of the transaction (i.e., the date on which the underlying revenue, expense, asset or liability-creating event occurs)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gains (losses), which are comprised of both realized and unrealized foreign currency exchange gains and losses, in its accompanying consolidated statements of operations of $76 and $(31)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(3)     </w:t>
      </w:r>
      <w:r>
        <w:rPr>
          <w:rFonts w:ascii="Times New Roman;serif" w:hAnsi="Times New Roman;serif"/>
          <w:b/>
          <w:color w:val="000000"/>
          <w:sz w:val="20"/>
        </w:rPr>
        <w:t>Recently Issued Accounting Standards and Accounting Standards Not yet Adopted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no other recent accounting pronouncements that have been issued by the FASB that are not yet effective that the Company expects would have a material impact on the Company’s financial statements, including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Stockholders' Equity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(a) Stock Equity and Incentive Plan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Company recognizes stock-based compensation in accordance with the provisions of ASC Topic 718, </w:t>
      </w:r>
      <w:r>
        <w:rPr>
          <w:rFonts w:ascii="Times New Roman;serif" w:hAnsi="Times New Roman;serif"/>
          <w:b w:val="false"/>
          <w:i/>
          <w:color w:val="000000"/>
          <w:sz w:val="20"/>
        </w:rPr>
        <w:t>Compensation-Stock Compensation</w:t>
      </w:r>
      <w:r>
        <w:rPr>
          <w:rFonts w:ascii="Times New Roman;serif" w:hAnsi="Times New Roman;serif"/>
          <w:b w:val="false"/>
          <w:color w:val="000000"/>
          <w:sz w:val="20"/>
        </w:rPr>
        <w:t>. Stock-based compensation expense was $302 and $335, excluding $4 and $2 of compensation expense related to our Amended and Restated 1996 Employee Stock Purchase Plan, or the ESPP, for the three months ended March 31, 2026 and 2025, respectively. As of March 31, 2026, there was $2,271 of total unrecognized compensation expense related to stock options, which is expected to be recognized over a weighted-average period of 3.08 years. As of March 31, 2026, there was $593 of total unrecognized compensation expense related to restricted stock awards, which is expected to be recognized over a weighted-average period of 1.02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Stock Options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18 shares of common stock were issued upon the exercise of stock options. No shares were surrendered to the Company to satisfy minimum tax withholding obligations. Additionally, during the three months ended March 31, 2026, 460 stock options were granted and 159 stock options expired, were canceled or were forfeited. During the three months ended March 31, 2025, the Company issued less than 1 shares of common stock upon the exercise of stock options. No shares were surrendered to the Company to satisfy minimum tax withholding obligations. Additionally, during the three months ended March 31, 2025, 525 stock options were granted and 63 stock options expired, were canceled or were forfeited. The Company has historically estimated the fair value of each option grant on the date of grant using the Black-Scholes option-pricing model. The weighted average assumptions utilized to determine the fair value of options granted during the three months ended March 31, 2026 and 2025 are as follows:</w:t>
      </w:r>
    </w:p>
    <w:tbl>
      <w:tblPr>
        <w:tblW w:w="5674" w:type="dxa"/>
        <w:jc w:val="left"/>
        <w:tblInd w:w="0" w:type="dxa"/>
        <w:tblLayout w:type="fixed"/>
        <w:tblCellMar>
          <w:top w:w="28" w:type="dxa"/>
          <w:left w:w="28" w:type="dxa"/>
          <w:bottom w:w="28" w:type="dxa"/>
          <w:right w:w="28" w:type="dxa"/>
        </w:tblCellMar>
      </w:tblPr>
      <w:tblGrid>
        <w:gridCol w:w="723"/>
        <w:gridCol w:w="634"/>
        <w:gridCol w:w="638"/>
        <w:gridCol w:w="352"/>
        <w:gridCol w:w="264"/>
        <w:gridCol w:w="579"/>
        <w:gridCol w:w="233"/>
        <w:gridCol w:w="233"/>
        <w:gridCol w:w="233"/>
        <w:gridCol w:w="352"/>
        <w:gridCol w:w="264"/>
        <w:gridCol w:w="57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were 1,543 options outstanding with a weighted average exercise price of $6.48 per share and 484 options exercisable with a weighted average exercise price of $7.47 per share. As of March 31, 2025, there were 1,415 options outstanding with a weighted average exercise price of $7.33 per share and 531 options exercisable with a weighted average exercise price of $9.02 per share.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Stock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no shares of restricted stock were granted and 18 shares of restricted stock were forfeited. Additionally, during the three months ended March 31, 2026, 60 shares of restricted stock vested. During the three months ended March 31, 2025, no shares of restricted stock were granted and 21 shares of restricted stock were forfeited. Additionally, during the three months ended March 31, 2025, 83 shares of restricted stock vested.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the Company had no unvested outstanding options and no outstanding shares of restricted stock that were subject to performance-based or market-based vesting conditions.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(b) Employee Stock Purchase Plan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March 31, 2026 and 2025, no shares were issued under the ESPP. The Company recorded compensation charges related to the ESPP of $4 and $2 for the three months ended March 31, 2026 and 2025, respectively.</w:t>
      </w:r>
    </w:p>
    <w:p>
      <w:pPr>
        <w:pStyle w:val="TextBody"/>
        <w:bidi w:val="0"/>
        <w:spacing w:before="0" w:after="0"/>
        <w:jc w:val="both"/>
        <w:rPr/>
      </w:pPr>
      <w:r>
        <w:rPr/>
      </w:r>
    </w:p>
    <w:p>
      <w:pPr>
        <w:pStyle w:val="TextBody"/>
        <w:bidi w:val="0"/>
        <w:spacing w:lineRule="auto" w:line="288" w:before="10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(c) Stock-Based Compensation Expense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stock-based compensation expense, including expense for the ESPP, in the Company's consolidated statements of operations for the three months ended March 31, 2026 and 2025, respectively: </w:t>
      </w:r>
    </w:p>
    <w:p>
      <w:pPr>
        <w:pStyle w:val="TextBody"/>
        <w:bidi w:val="0"/>
        <w:spacing w:before="100" w:after="283"/>
        <w:ind w:left="0" w:right="0" w:firstLine="495"/>
        <w:jc w:val="left"/>
        <w:rPr/>
      </w:pPr>
      <w:r>
        <w:rPr/>
      </w:r>
    </w:p>
    <w:tbl>
      <w:tblPr>
        <w:tblW w:w="6639" w:type="dxa"/>
        <w:jc w:val="left"/>
        <w:tblInd w:w="0" w:type="dxa"/>
        <w:tblLayout w:type="fixed"/>
        <w:tblCellMar>
          <w:top w:w="28" w:type="dxa"/>
          <w:left w:w="28" w:type="dxa"/>
          <w:bottom w:w="28" w:type="dxa"/>
          <w:right w:w="28" w:type="dxa"/>
        </w:tblCellMar>
      </w:tblPr>
      <w:tblGrid>
        <w:gridCol w:w="891"/>
        <w:gridCol w:w="783"/>
        <w:gridCol w:w="786"/>
        <w:gridCol w:w="109"/>
        <w:gridCol w:w="109"/>
        <w:gridCol w:w="298"/>
        <w:gridCol w:w="298"/>
        <w:gridCol w:w="577"/>
        <w:gridCol w:w="1317"/>
        <w:gridCol w:w="298"/>
        <w:gridCol w:w="109"/>
        <w:gridCol w:w="109"/>
        <w:gridCol w:w="109"/>
        <w:gridCol w:w="211"/>
        <w:gridCol w:w="48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73" w:type="dxa"/>
            <w:gridSpan w:val="6"/>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0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(d) Accumulated Other Comprehensive Loss (AOCL)</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balances for the three months ended March 31, 2026 and 2025 are as follows:</w:t>
      </w:r>
    </w:p>
    <w:tbl>
      <w:tblPr>
        <w:tblW w:w="9857" w:type="dxa"/>
        <w:jc w:val="center"/>
        <w:tblInd w:w="0" w:type="dxa"/>
        <w:tblLayout w:type="fixed"/>
        <w:tblCellMar>
          <w:top w:w="28" w:type="dxa"/>
          <w:left w:w="28" w:type="dxa"/>
          <w:bottom w:w="28" w:type="dxa"/>
          <w:right w:w="28" w:type="dxa"/>
        </w:tblCellMar>
      </w:tblPr>
      <w:tblGrid>
        <w:gridCol w:w="912"/>
        <w:gridCol w:w="801"/>
        <w:gridCol w:w="806"/>
        <w:gridCol w:w="594"/>
        <w:gridCol w:w="1781"/>
        <w:gridCol w:w="309"/>
        <w:gridCol w:w="109"/>
        <w:gridCol w:w="109"/>
        <w:gridCol w:w="109"/>
        <w:gridCol w:w="109"/>
        <w:gridCol w:w="109"/>
        <w:gridCol w:w="869"/>
        <w:gridCol w:w="2601"/>
        <w:gridCol w:w="63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(4,161)</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(4,161)</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(4,395)</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(4,395)</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7" w:type="dxa"/>
        <w:jc w:val="center"/>
        <w:tblInd w:w="0" w:type="dxa"/>
        <w:tblLayout w:type="fixed"/>
        <w:tblCellMar>
          <w:top w:w="28" w:type="dxa"/>
          <w:left w:w="28" w:type="dxa"/>
          <w:bottom w:w="28" w:type="dxa"/>
          <w:right w:w="28" w:type="dxa"/>
        </w:tblCellMar>
      </w:tblPr>
      <w:tblGrid>
        <w:gridCol w:w="912"/>
        <w:gridCol w:w="801"/>
        <w:gridCol w:w="806"/>
        <w:gridCol w:w="594"/>
        <w:gridCol w:w="1781"/>
        <w:gridCol w:w="309"/>
        <w:gridCol w:w="109"/>
        <w:gridCol w:w="109"/>
        <w:gridCol w:w="109"/>
        <w:gridCol w:w="109"/>
        <w:gridCol w:w="109"/>
        <w:gridCol w:w="869"/>
        <w:gridCol w:w="2601"/>
        <w:gridCol w:w="63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(4,032)</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(4,032)</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(3,310)</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(3,310)</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Net Income (Loss) per Common Share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Basic net income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March 31, 2025, since there was a net loss, the company excluded 1,141 shares in underlying outstanding stock options and non-vested restricted shares from its diluted loss per share calculation, as inclusion of these convertible securities would have reduced the net loss per share.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basic and diluted weighted average common shares outstanding is as follows:</w:t>
      </w:r>
    </w:p>
    <w:p>
      <w:pPr>
        <w:pStyle w:val="TextBody"/>
        <w:bidi w:val="0"/>
        <w:spacing w:lineRule="auto" w:line="288" w:before="0" w:after="0"/>
        <w:jc w:val="left"/>
        <w:rPr>
          <w:color w:val="000000"/>
        </w:rPr>
      </w:pPr>
      <w:r>
        <w:rPr>
          <w:color w:val="000000"/>
        </w:rPr>
        <w:t> </w:t>
      </w:r>
    </w:p>
    <w:tbl>
      <w:tblPr>
        <w:tblW w:w="8701" w:type="dxa"/>
        <w:jc w:val="left"/>
        <w:tblInd w:w="0" w:type="dxa"/>
        <w:tblLayout w:type="fixed"/>
        <w:tblCellMar>
          <w:top w:w="28" w:type="dxa"/>
          <w:left w:w="28" w:type="dxa"/>
          <w:bottom w:w="28" w:type="dxa"/>
          <w:right w:w="28" w:type="dxa"/>
        </w:tblCellMar>
      </w:tblPr>
      <w:tblGrid>
        <w:gridCol w:w="1931"/>
        <w:gridCol w:w="1695"/>
        <w:gridCol w:w="1699"/>
        <w:gridCol w:w="109"/>
        <w:gridCol w:w="109"/>
        <w:gridCol w:w="374"/>
        <w:gridCol w:w="374"/>
        <w:gridCol w:w="374"/>
        <w:gridCol w:w="374"/>
        <w:gridCol w:w="377"/>
        <w:gridCol w:w="109"/>
        <w:gridCol w:w="109"/>
        <w:gridCol w:w="109"/>
        <w:gridCol w:w="360"/>
        <w:gridCol w:w="361"/>
        <w:gridCol w:w="237"/>
      </w:tblGrid>
      <w:tr>
        <w:trPr/>
        <w:tc>
          <w:tcPr>
            <w:tcW w:w="193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285"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285"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shares issuable in connection with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19,427 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using the first-in first-out costing method. Inventories as of March 31, 2026 and December 31, 2025 include the costs of material, labor, and factory overhead. Components of inventories consist of the following:</w:t>
      </w:r>
    </w:p>
    <w:tbl>
      <w:tblPr>
        <w:tblW w:w="4098" w:type="dxa"/>
        <w:jc w:val="center"/>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53"/>
        <w:gridCol w:w="867"/>
        <w:gridCol w:w="18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Prepaid Expenses and Other Current Assets</w:t>
      </w:r>
    </w:p>
    <w:p>
      <w:pPr>
        <w:pStyle w:val="TextBody"/>
        <w:bidi w:val="0"/>
        <w:spacing w:before="0" w:after="0"/>
        <w:jc w:val="both"/>
        <w:rPr/>
      </w:pPr>
      <w:r>
        <w:rPr/>
      </w:r>
    </w:p>
    <w:tbl>
      <w:tblPr>
        <w:tblW w:w="6617" w:type="dxa"/>
        <w:jc w:val="center"/>
        <w:tblInd w:w="0" w:type="dxa"/>
        <w:tblLayout w:type="fixed"/>
        <w:tblCellMar>
          <w:top w:w="28" w:type="dxa"/>
          <w:left w:w="28" w:type="dxa"/>
          <w:bottom w:w="28" w:type="dxa"/>
          <w:right w:w="28" w:type="dxa"/>
        </w:tblCellMar>
      </w:tblPr>
      <w:tblGrid>
        <w:gridCol w:w="1427"/>
        <w:gridCol w:w="1256"/>
        <w:gridCol w:w="1261"/>
        <w:gridCol w:w="211"/>
        <w:gridCol w:w="721"/>
        <w:gridCol w:w="109"/>
        <w:gridCol w:w="109"/>
        <w:gridCol w:w="109"/>
        <w:gridCol w:w="109"/>
        <w:gridCol w:w="280"/>
        <w:gridCol w:w="819"/>
        <w:gridCol w:w="20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Starlink pooled data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KVH entered into an agreement to purchase a block of Starlink Global Priority data for $45.0 million. The agreement provided KVH flexibility in the development and sales of custom, cost-effective airtime plans using Starlink's Global Priority service. We made an upfront payment of $5.0 million upon entry into the agreement, a payment of $10.0 million in January 2026 and a payment of $6.0 million in February 2026. The remainder of the $45.0 million obligation is due in quarterly payments from the second quarter of 2026 through the first quarter of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as of March 31, 2026 and December 31, 2025 consist of the following:</w:t>
      </w:r>
    </w:p>
    <w:tbl>
      <w:tblPr>
        <w:tblW w:w="5357"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53"/>
        <w:gridCol w:w="867"/>
        <w:gridCol w:w="185"/>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Revenue-generating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was $2,240 and $2,784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revenue-generating hardware assets are utilized by the Company in the delivery of the Company's airtime services, media and other content.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long-lived tangible assets related to the Company’s international subsidiaries were less than 10% of the Company’s long-lived tangible assets.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2024, the Company commenced its plan to sell the warehouse building and surface parking lot located at 75 Enterprise Center in Middletown, Rhode Island (“75 Enterprise Center”). The sale was completed in September 2025. The Company also entered into an agreement with the buyer to lease this property for the period October 2025 through the end of March 2026, which was subsequently extended through April 30, 2026. Total lease expense under this agreement was $0.2 million. The Company has now fully migrated its Rhode Island operations to the leased facility located in Bristol, Rhode Island.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in the third quarter of 2024, the Company commenced its plan to sell the property, building, improvements, and land located at 50 Enterprise Center in Middletown, Rhode Island (“50 Enterprise Center”). In March 2025, the Company entered into an agreement with a buyer to sell 50 Enterprise Center for $5.3 million. The sale was completed in June 2025.</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Product Warranty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March 31, 2026 and December 31, 2025, the Company had accrued product warranty costs of $654 and $644,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product warranty activity during 2026 and 2025:</w:t>
      </w:r>
    </w:p>
    <w:p>
      <w:pPr>
        <w:pStyle w:val="TextBody"/>
        <w:bidi w:val="0"/>
        <w:spacing w:lineRule="auto" w:line="288" w:before="0" w:after="0"/>
        <w:jc w:val="left"/>
        <w:rPr>
          <w:color w:val="000000"/>
        </w:rPr>
      </w:pPr>
      <w:r>
        <w:rPr>
          <w:color w:val="000000"/>
        </w:rPr>
        <w:t> </w:t>
      </w:r>
    </w:p>
    <w:tbl>
      <w:tblPr>
        <w:tblW w:w="3639" w:type="dxa"/>
        <w:jc w:val="center"/>
        <w:tblInd w:w="0" w:type="dxa"/>
        <w:tblLayout w:type="fixed"/>
        <w:tblCellMar>
          <w:top w:w="28" w:type="dxa"/>
          <w:left w:w="28" w:type="dxa"/>
          <w:bottom w:w="28" w:type="dxa"/>
          <w:right w:w="28" w:type="dxa"/>
        </w:tblCellMar>
      </w:tblPr>
      <w:tblGrid>
        <w:gridCol w:w="614"/>
        <w:gridCol w:w="539"/>
        <w:gridCol w:w="542"/>
        <w:gridCol w:w="211"/>
        <w:gridCol w:w="466"/>
        <w:gridCol w:w="109"/>
        <w:gridCol w:w="109"/>
        <w:gridCol w:w="109"/>
        <w:gridCol w:w="109"/>
        <w:gridCol w:w="211"/>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1:    Unadjusted quoted prices in active markets that are accessible at the measurement date for identical, unrestricted assets or liabilities.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2:    Quoted prices for similar assets or liabilities in active markets; or observable prices that are based on observable market data, based on directly or indirectly market-corroborated inputs.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supported by little or no market activity and are developed based on the best information available given the circumstances. </w:t>
      </w:r>
    </w:p>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financial assets or liabilities were measured at fair value based upon the ASC 820 fair value hierarchy as of March 31, 2026 or December 31, 2025.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financial instruments approximates fair value due to their short-term, highly liquid nature. These instruments include cash and cash equivalents, accounts receivable, accounts payable, and accrued expenses.</w:t>
      </w:r>
    </w:p>
    <w:p>
      <w:pPr>
        <w:pStyle w:val="TextBody"/>
        <w:bidi w:val="0"/>
        <w:spacing w:before="180" w:after="2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Assets Measured and Recorded at Fair Value on a Nonrecurring Basis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three months ended March 31, 2026 and 2025. The Company does not have any liabilities that are recorded at fair value on a non-recurring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carrying amount of intangible assets during the three months ended March 31, 2026 are as follows: </w:t>
      </w:r>
    </w:p>
    <w:tbl>
      <w:tblPr>
        <w:tblW w:w="5727"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338"/>
        <w:gridCol w:w="989"/>
        <w:gridCol w:w="248"/>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 in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arose from the purchase of the maritime satellite service business of a satellite services provider operating in the Asia-Pacific region in October 2025, the purchase of distribution rights from Kognitive Networks Inc. in October 2023 and the purchase of KVH Industries Norway AS in September 2010. The assets that are related to the purchase of the maritime satellite service business of a satellite services provider are being amortized on a straight-line basis over the estimated useful life of 9 years.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 January 2017, the Company completed the acquisition of certain subscriber relationships from a third party. This acquisition did not meet the definition of a business under ASC 2017-01, </w:t>
      </w:r>
      <w:r>
        <w:rPr>
          <w:rFonts w:ascii="Times New Roman;serif" w:hAnsi="Times New Roman;serif"/>
          <w:b w:val="false"/>
          <w:i/>
          <w:color w:val="000000"/>
          <w:sz w:val="20"/>
        </w:rPr>
        <w:t>Business Combinations (Topic 805)-Clarifying the Definition of a Business</w:t>
      </w:r>
      <w:r>
        <w:rPr>
          <w:rFonts w:ascii="Times New Roman;serif" w:hAnsi="Times New Roman;serif"/>
          <w:b w:val="false"/>
          <w:color w:val="000000"/>
          <w:sz w:val="20"/>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are subject to amortization. The following table summarizes acquired intangible assets at March 31, 2026 and December 31, 2025, respectively:</w:t>
      </w:r>
    </w:p>
    <w:tbl>
      <w:tblPr>
        <w:tblW w:w="10176" w:type="dxa"/>
        <w:jc w:val="center"/>
        <w:tblInd w:w="0" w:type="dxa"/>
        <w:tblLayout w:type="fixed"/>
        <w:tblCellMar>
          <w:top w:w="28" w:type="dxa"/>
          <w:left w:w="28" w:type="dxa"/>
          <w:bottom w:w="28" w:type="dxa"/>
          <w:right w:w="28" w:type="dxa"/>
        </w:tblCellMar>
      </w:tblPr>
      <w:tblGrid>
        <w:gridCol w:w="1022"/>
        <w:gridCol w:w="896"/>
        <w:gridCol w:w="902"/>
        <w:gridCol w:w="109"/>
        <w:gridCol w:w="109"/>
        <w:gridCol w:w="109"/>
        <w:gridCol w:w="487"/>
        <w:gridCol w:w="1422"/>
        <w:gridCol w:w="251"/>
        <w:gridCol w:w="109"/>
        <w:gridCol w:w="109"/>
        <w:gridCol w:w="109"/>
        <w:gridCol w:w="539"/>
        <w:gridCol w:w="1580"/>
        <w:gridCol w:w="281"/>
        <w:gridCol w:w="109"/>
        <w:gridCol w:w="109"/>
        <w:gridCol w:w="109"/>
        <w:gridCol w:w="390"/>
        <w:gridCol w:w="1140"/>
        <w:gridCol w:w="285"/>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$205 and $104 for the three months ended March 31, 2026 and 2025, respectively. Amortization expense was categorized as general and administrative expense.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weighted average remaining useful lives of the definite-lived intangible assets was 7.8 years.</w:t>
      </w:r>
    </w:p>
    <w:p>
      <w:pPr>
        <w:pStyle w:val="TextBody"/>
        <w:bidi w:val="0"/>
        <w:spacing w:before="100" w:after="283"/>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intangible assets recorded by the Company at March 31, 2026 is as follows:</w:t>
      </w:r>
    </w:p>
    <w:tbl>
      <w:tblPr>
        <w:tblW w:w="3466" w:type="dxa"/>
        <w:jc w:val="left"/>
        <w:tblInd w:w="0" w:type="dxa"/>
        <w:tblLayout w:type="fixed"/>
        <w:tblCellMar>
          <w:top w:w="28" w:type="dxa"/>
          <w:left w:w="28" w:type="dxa"/>
          <w:bottom w:w="28" w:type="dxa"/>
          <w:right w:w="28" w:type="dxa"/>
        </w:tblCellMar>
      </w:tblPr>
      <w:tblGrid>
        <w:gridCol w:w="847"/>
        <w:gridCol w:w="744"/>
        <w:gridCol w:w="749"/>
        <w:gridCol w:w="242"/>
        <w:gridCol w:w="707"/>
        <w:gridCol w:w="177"/>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Years ending December 31,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Expense</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goodwill is associated with the purchase of the maritime satellite service business of a satellite services provider operating in the Asia-Pacific region in October 2025.</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is recorded when the consideration for an acquisition exceeds the fair value of net tangible and identifiable intangible assets acquired. The changes in the carrying amount of goodwill during the three months ended March 31, 2026 is as follows:</w:t>
      </w:r>
    </w:p>
    <w:p>
      <w:pPr>
        <w:pStyle w:val="TextBody"/>
        <w:bidi w:val="0"/>
        <w:spacing w:before="0" w:after="0"/>
        <w:jc w:val="both"/>
        <w:rPr/>
      </w:pPr>
      <w:r>
        <w:rPr/>
      </w:r>
    </w:p>
    <w:tbl>
      <w:tblPr>
        <w:tblW w:w="3425" w:type="dxa"/>
        <w:jc w:val="left"/>
        <w:tblInd w:w="0" w:type="dxa"/>
        <w:tblLayout w:type="fixed"/>
        <w:tblCellMar>
          <w:top w:w="28" w:type="dxa"/>
          <w:left w:w="28" w:type="dxa"/>
          <w:bottom w:w="28" w:type="dxa"/>
          <w:right w:w="28" w:type="dxa"/>
        </w:tblCellMar>
      </w:tblPr>
      <w:tblGrid>
        <w:gridCol w:w="940"/>
        <w:gridCol w:w="826"/>
        <w:gridCol w:w="828"/>
        <w:gridCol w:w="211"/>
        <w:gridCol w:w="46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goodwill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Revenue from Contracts with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from contracts with customers for the three months ended March 31, 2026 and 2025:</w:t>
      </w:r>
    </w:p>
    <w:p>
      <w:pPr>
        <w:pStyle w:val="TextBody"/>
        <w:bidi w:val="0"/>
        <w:spacing w:before="0" w:after="0"/>
        <w:ind w:left="0" w:right="0" w:firstLine="540"/>
        <w:jc w:val="both"/>
        <w:rPr/>
      </w:pPr>
      <w:r>
        <w:rPr/>
      </w:r>
    </w:p>
    <w:tbl>
      <w:tblPr>
        <w:tblW w:w="5455" w:type="dxa"/>
        <w:jc w:val="center"/>
        <w:tblInd w:w="0" w:type="dxa"/>
        <w:tblLayout w:type="fixed"/>
        <w:tblCellMar>
          <w:top w:w="28" w:type="dxa"/>
          <w:left w:w="28" w:type="dxa"/>
          <w:bottom w:w="28" w:type="dxa"/>
          <w:right w:w="28" w:type="dxa"/>
        </w:tblCellMar>
      </w:tblPr>
      <w:tblGrid>
        <w:gridCol w:w="706"/>
        <w:gridCol w:w="619"/>
        <w:gridCol w:w="625"/>
        <w:gridCol w:w="109"/>
        <w:gridCol w:w="109"/>
        <w:gridCol w:w="162"/>
        <w:gridCol w:w="162"/>
        <w:gridCol w:w="314"/>
        <w:gridCol w:w="1074"/>
        <w:gridCol w:w="162"/>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maritime and land mobile markets, among other factors. Performance in any particular period could be impacted by the timing of sales to certain large customers.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offers a comprehensive family of mobile satellite antenna services and products that provide access to the internet, television, and VoIP services while on the move. Service sales of airtime service accounted for 82% and 79% of the Company's consolidated net sales for the three months ended March 31, 2026 and 2025, respectively. The balance of service sales are comprised of distribution of commercially licensed entertainment and news, product repairs, and extended warranty sales. Product sales accounted for 13% and 15% of the Company's consolidated net sales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other single product class accounts for 10% or more of the Company's consolidated net sales.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76% and 80% of consolidated net sales for the three months ended March 31, 2026 and 2025, respectively. Sales to Singapore customers represented 21% and 23% of the Company's consolidated net sales for the three months ended March 31, 2026 and 2025, respectively. No other individual foreign country represented 10% or more of the Company's consolidated net sales for the three months ended March 31, 2026 or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and Credit Concentrations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potentially subject to financial instrument concentration of credit risk through its cash and cash equivalents. To mitigate these risks, the Company maintains cash and cash equivalents with reputable and nationally recognized financial institutions. As of March 31, 2026, substantially all of the cash and cash equivalents were held by Bank of America, N.A.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customers accounted for 10% or more of consolidated net sales for the three months ended March 31, 2026. One customer accounted for 13% of consolidated net sales for the three months ended March 31, 2025. No other customers accounted for 10% or more of consolidated net sales for the three months ended March 31, 2025. One customer accounted for approximately 14% and 16% of accounts receivable at March 31, 2026 and December 31, 2025, respectively. One customer accounted for 22% and 29% of long-term accounts receivable included in other non-current assets on the consolidated balance sheets related to sales-type leases at March 31, 2026 and December 31, 2025, respectively.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March 31, 2026 was 17.5% compared with (1.5)%, for the three months ended March 31, 2026.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reserves for uncertain tax positions of $817 and $793, respectively. There were no material changes during the three months ended March 31, 2026 to the Company’s reserve for uncertain tax positions. The Company estimates that it is reasonably possible that the balance of unrecognized tax benefits as of March 31, 2026 may decrease $9 in the next twelve months as a result of a lapse of statutes of limitations and settlements with taxing authorities.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tax jurisdictions include the United States, the United Kingdom, Denmark, Cyprus, Norway, Brazil, Singapore, Japan and India. In general, the statute of limitations with respect to the Company's United States federal income taxes has expired for years prior to 2022,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enactment of the OBBBA did not materially affect the Company's consolidated financial statements.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Lessee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facilities, equipment, and satellite service capacity and related equipment. Lease expense was $116 and $271 for the three months ended March 31, 2026 and 2025, respectively. Short-term operating lease costs were $24 and $22 for the three months ended March 31, 2026 and 2025, respectively. Maturities of lease liabilities as of March 31, 2026 under operating leases having an initial or remaining non-cancelable term of one year or more are as follows:</w:t>
      </w:r>
    </w:p>
    <w:p>
      <w:pPr>
        <w:pStyle w:val="TextBody"/>
        <w:bidi w:val="0"/>
        <w:spacing w:before="0" w:after="0"/>
        <w:ind w:left="0" w:right="0" w:firstLine="540"/>
        <w:jc w:val="both"/>
        <w:rPr/>
      </w:pPr>
      <w:r>
        <w:rPr/>
      </w:r>
    </w:p>
    <w:tbl>
      <w:tblPr>
        <w:tblW w:w="8237" w:type="dxa"/>
        <w:jc w:val="center"/>
        <w:tblInd w:w="0" w:type="dxa"/>
        <w:tblLayout w:type="fixed"/>
        <w:tblCellMar>
          <w:top w:w="28" w:type="dxa"/>
          <w:left w:w="28" w:type="dxa"/>
          <w:bottom w:w="28" w:type="dxa"/>
          <w:right w:w="28" w:type="dxa"/>
        </w:tblCellMar>
      </w:tblPr>
      <w:tblGrid>
        <w:gridCol w:w="2566"/>
        <w:gridCol w:w="2255"/>
        <w:gridCol w:w="2273"/>
        <w:gridCol w:w="211"/>
        <w:gridCol w:w="616"/>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net minimum operating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installments of obligation under current-operating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long-term operating lease liabilities, excluding current installments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23, 2025, the Company entered into a new lease agreement for approximately 32,000 square feet of office and warehouse space in Bristol, Rhode Island. The Company has fully migrated its Rhode Island operations to this leased facility. The Company's costs of sales and operational expenditures will include lease expense at the rate of approximately $0.6 million for the first year of the lease (excluding three months of free rent), with fixed annual increases thereafter. The lease agreement is for a term of 87 months with an option to extend the lease an additional 10 years. This lease agreement resulted in a right of use asset and operating lease liabilities of approximately $3,600 as of March 31,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Lessor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leases with certain customers primarily for the TracNet and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current portion of the net investment in these leases was $2,490 as of March 31, 2026 and the non-current portion of the net investment in these leases was $2,187 as of March 31, 2026. The current portion of the net investment in the leases is included in accounts receivable, net of allowance for credit losses on the accompanying consolidated balance sheets and the non-current portion of the net investment in these leases is included in other non-current assets on the accompanying consolidated balance sheets. Interest income from sales-type leases was $90 and $102 during the three months ended March 31,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undiscounted cash flows from these leases as of March 31, 2026 are:</w:t>
      </w:r>
    </w:p>
    <w:tbl>
      <w:tblPr>
        <w:tblW w:w="6921" w:type="dxa"/>
        <w:jc w:val="center"/>
        <w:tblInd w:w="0" w:type="dxa"/>
        <w:tblLayout w:type="fixed"/>
        <w:tblCellMar>
          <w:top w:w="28" w:type="dxa"/>
          <w:left w:w="28" w:type="dxa"/>
          <w:bottom w:w="28" w:type="dxa"/>
          <w:right w:w="28" w:type="dxa"/>
        </w:tblCellMar>
      </w:tblPr>
      <w:tblGrid>
        <w:gridCol w:w="2149"/>
        <w:gridCol w:w="1888"/>
        <w:gridCol w:w="1903"/>
        <w:gridCol w:w="211"/>
        <w:gridCol w:w="616"/>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undiscounted cash flows and discounted cash flows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Restructuring</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2024, the Board of Directors of the Company voted to implement a staged wind-down of the Company’s manufacturing activities.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our Bristol, Rhode Island location.</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Segment Information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three months ended March 31, 2026 and 2025 consisted of the following:</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6535" w:type="dxa"/>
        <w:jc w:val="left"/>
        <w:tblInd w:w="0" w:type="dxa"/>
        <w:tblLayout w:type="fixed"/>
        <w:tblCellMar>
          <w:top w:w="28" w:type="dxa"/>
          <w:left w:w="28" w:type="dxa"/>
          <w:bottom w:w="28" w:type="dxa"/>
          <w:right w:w="28" w:type="dxa"/>
        </w:tblCellMar>
      </w:tblPr>
      <w:tblGrid>
        <w:gridCol w:w="1090"/>
        <w:gridCol w:w="960"/>
        <w:gridCol w:w="980"/>
        <w:gridCol w:w="109"/>
        <w:gridCol w:w="109"/>
        <w:gridCol w:w="162"/>
        <w:gridCol w:w="162"/>
        <w:gridCol w:w="314"/>
        <w:gridCol w:w="1074"/>
        <w:gridCol w:w="162"/>
        <w:gridCol w:w="109"/>
        <w:gridCol w:w="109"/>
        <w:gridCol w:w="109"/>
        <w:gridCol w:w="211"/>
        <w:gridCol w:w="721"/>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service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VSAT airtime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 airtime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TracVision &amp; land mobile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marketing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items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costs related to Viasat/Inmarsat, service activations, content service, CommBox Edge and other miscellaneous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costs related to CommBox Edge, TracNet Coastal, obsolete inventory write-off and other miscellaneous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facilities and other less significant expenses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(4)Includes marketing expenses, external commissions, travel and entertainment, facilities expense, warranty expense and other less significant expenses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(5)Includes the financing fees, facilities expense, computer expenses, depreciation and amortization and other less significant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(6)Other segment items includes interest income; other income (expense), net; and income tax expense (benefit) line items on the face of the income statement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Regarding the Company's long-lived assets of $26,451 for the period end March 31, 2026, $9,797 of these assets are located inside of the United States. Regarding the assets located outside of the United States, $5,529 are located in Singapore. The geographic location of the Company's AgilePlans revenue-generating assets has been determined based upon the customer shipping address.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Regarding the Company's long-lived assets of $26,414 for the period ended December 31, 2025, $8,788 of these assets are located in the United States. Regarding the assets located outside the United States, $5,612 are located in Singapore. The geographic location of the Company's AgilePlans revenue-generating assets has been determined based upon the customer shipping address.</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Share Buyback Program</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9, 2024, the Board of Directors of the Company authorized a share repurchase program pursuant to which the Company may purchase outstanding shares of the Company’s common stock for an aggregate purchase price of up to $10,000. On March 6, 2026, the Board of Directors of our Company authorized an increase in the size of the repurchase program from $10,000 to $15,000.</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34 shares of common stock in open market transactions at a cost of approximately $206. Except as noted above, there were no other repurchase programs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(19)     Business Combination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8, 2025 (the “Closing Date”), the Company entered into an agreement (the “Agreement”) to purchase the maritime satellite service business of a satellite services provider operating in the Asia-Pacific region (the “Seller”). The transfer of control from the Seller to the Company is referred to as the “Acquisition”. The Acquisition was consummated on the Closing Date. The Acquisition was funded from existing cash of the Company.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a subsidiary of the Company made offers of employment to eleven employees of the Seller, all of which were accepted. The Company also entered into transition arrangements with the Seller to facilitate the orderly transfer of the business. The transfer of certain agreements requires the consent of the counterparty. The Company expects that, if consent is not obtained, the Company and the Seller will fulfill those agreements through subcontracting arrangements, where permitted. The agreements remain terminable in accordance with their terms, and the unanticipated termination of any of the agreements may prevent the Company from realizing some or all of the anticipated benefits of the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2025.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global provider of innovative and technology-driven connectivity solutions to primarily maritime commercial and leisure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a substantial majority of our revenues from sales of satellite internet airtime services. We provide, for monthly fixed fees and per-usage fees, satellite connectivity encompassing broadband internet, data and VoIP services, to customers via our KVH ONE hybrid network, which integrates global satellite service (including Starlink, Ku-band VSAT using the SES HTS network, Eutelsat OneWeb, Viasat/Inmarsat, Iridium, and other satellite services), KVH-provided cellular service in more than 130 countries, and shore-based Wi-Fi access.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is suitable for fixed and mobile uses on land and inland waterways, including lakes and rivers. In 2025, Starlink products and services were our fastest growing products and services. We are also now earning usage fees from our offering of Eutelsat OneWeb maritime service, which we launched in January 2025. Revenue from our cellular airtime service supplements our satellite-only airtime revenue. In addition, we earn monthly usage fees from sales of third-party satellite connectivity for VoIP and supplemental services to our Viasat/Inmarsat, Iridium, Starlink and Eutelsat OneWeb customers. In December 2024, we introduced our TracNet Coastal and TracNet Coastal Pro terminals, expanding our extensive multi-channel portfolio of maritime products and services with a standalone 5G/cellular and Wi-Fi system. We also generate service revenue from product repairs and extended warranty sales.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service sales also include the distribution of entertainment, including movies, television programming, news and music, to commercial customers in the maritime market through KVH Media Group, along with supplemental value-added services.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our Ku-band VSAT communications service was the primary driver of revenue growth. However, in recent years these services have represented a declining percentage of our revenues in the face of increased demand for and competition from emerging LEO services. Our satellite-only and hybrid products enable maritime customers to receive data, VoIP, and value-added services via satellite, cellular, and shore-based Wi-Fi networks onboard commercial and leisure vessels. In addition, our in-motion television terminals permit customers to receive live digital television via regional satellite services on maritime vessels and on recreational vehicles, buses and automobiles. We sell our products through an extensive international network of dealers and distributors. We also sell and lease products to service providers and end users.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2024, we announced a staged wind-down of our product manufacturing operations.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2026. This wind-down has been extended because our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our Bristol, Rhode Island location.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we expanded our relationship with Starlink through a bulk data distribution agreement. Under the agreement, we prepaid $17.0 million for access to a large block of Starlink Global Priority data at favorable rates. The agreement provided us flexibility in the development and sale of custom airtime plans using Starlink’s Global Priority service. We began drawing from this prepaid pooled data in the third quarter of 2024 and this data was fully consumed by the end of 2025. In the fourth quarter of 2025, we entered into an agreement to purchase a substantially larger block of Starlink Global Priority data. We made a prepayment of $5.0 million related to this agreement in the fourth quarter of 2025, and additional payments of $10.0 million in January 2026 and $6.0 million in February 2026. We must pay the remaining balance of $24.0 million in periodic quarterly payments through the first quarter of 2027.</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we commenced our plan to sell the warehouse building and surface parking lot located at 75 Enterprise Center in Middletown, Rhode Island (“75 Enterprise Center”). In December 2024, we entered into an agreement to sell 75 Enterprise Center for $8.5 million. The sale was completed in September 2025. We also entered into an agreement with the buyer to lease this property for the period October 2025 through the end of March 2026, which was subsequently extended through April 30, 2026. Total lease expense under this agreement was $0.2 million. The Company has fully migrated its Rhode Island operations to the leased facility located in Bristol, Rhode Island.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in the third quarter of 2024, we commenced our plan to sell the property, building, improvements, and land located at 50 Enterprise Center in Middletown, Rhode Island (“50 Enterprise Center”). In March 2025, we entered into an agreement with another buyer to sell 50 Enterprise Center for $5.3 million. The sale was completed in June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2025.</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the three months ended March 31, 2026, as discussed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for the periods indicated, certain financial data relating to our operations expressed as a percentage of net sales:</w:t>
      </w:r>
    </w:p>
    <w:tbl>
      <w:tblPr>
        <w:tblW w:w="6838" w:type="dxa"/>
        <w:jc w:val="left"/>
        <w:tblInd w:w="0" w:type="dxa"/>
        <w:tblLayout w:type="fixed"/>
        <w:tblCellMar>
          <w:top w:w="28" w:type="dxa"/>
          <w:left w:w="28" w:type="dxa"/>
          <w:bottom w:w="28" w:type="dxa"/>
          <w:right w:w="28" w:type="dxa"/>
        </w:tblCellMar>
      </w:tblPr>
      <w:tblGrid>
        <w:gridCol w:w="1223"/>
        <w:gridCol w:w="1079"/>
        <w:gridCol w:w="1102"/>
        <w:gridCol w:w="109"/>
        <w:gridCol w:w="109"/>
        <w:gridCol w:w="288"/>
        <w:gridCol w:w="288"/>
        <w:gridCol w:w="347"/>
        <w:gridCol w:w="288"/>
        <w:gridCol w:w="723"/>
        <w:gridCol w:w="109"/>
        <w:gridCol w:w="109"/>
        <w:gridCol w:w="109"/>
        <w:gridCol w:w="307"/>
        <w:gridCol w:w="309"/>
        <w:gridCol w:w="339"/>
      </w:tblGrid>
      <w:tr>
        <w:trPr/>
        <w:tc>
          <w:tcPr>
            <w:tcW w:w="122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282"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282"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Three months ended March 31, 2026 and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net sales for the three months ended March 31, 2026 and 2025 were as follows: </w:t>
      </w:r>
    </w:p>
    <w:tbl>
      <w:tblPr>
        <w:tblW w:w="6435" w:type="dxa"/>
        <w:jc w:val="center"/>
        <w:tblInd w:w="0" w:type="dxa"/>
        <w:tblLayout w:type="fixed"/>
        <w:tblCellMar>
          <w:top w:w="28" w:type="dxa"/>
          <w:left w:w="28" w:type="dxa"/>
          <w:bottom w:w="28" w:type="dxa"/>
          <w:right w:w="28" w:type="dxa"/>
        </w:tblCellMar>
      </w:tblPr>
      <w:tblGrid>
        <w:gridCol w:w="308"/>
        <w:gridCol w:w="271"/>
        <w:gridCol w:w="275"/>
        <w:gridCol w:w="290"/>
        <w:gridCol w:w="992"/>
        <w:gridCol w:w="150"/>
        <w:gridCol w:w="150"/>
        <w:gridCol w:w="150"/>
        <w:gridCol w:w="150"/>
        <w:gridCol w:w="290"/>
        <w:gridCol w:w="992"/>
        <w:gridCol w:w="150"/>
        <w:gridCol w:w="109"/>
        <w:gridCol w:w="109"/>
        <w:gridCol w:w="109"/>
        <w:gridCol w:w="211"/>
        <w:gridCol w:w="616"/>
        <w:gridCol w:w="109"/>
        <w:gridCol w:w="109"/>
        <w:gridCol w:w="109"/>
        <w:gridCol w:w="109"/>
        <w:gridCol w:w="180"/>
        <w:gridCol w:w="181"/>
        <w:gridCol w:w="31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(dollars in thousands)</w:t>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sales increased by $6.9 million, or 27%, for the three months ended March 31, 2026 as compared to the three months ended March 31, 2025. Service sales increased by $6.5 million, or 30%, to $28.2 million for the three months ended March 31, 2026 from $21.6 million for the three months ended March 31, 2025. The increase in service sales was primarily due to a $6.2 million increase in our airtime service sales, which reflected a substantial increase in LEO service sales driven by an increase in subscribers for both Starlink and OneWeb. This increase in LEO service sales was partially offset by a substantial decrease in VSAT service sales, which was driven primarily by a decrease in VSAT subscribers. For the three months ended March 31, 2026, LEO services sales represented over 45% of airtime services sales, as compared to less than 30% for the three months ended March 31, 2025. The increase in LEO service sales as a percentage of total airtime sales resulted from both the substantial increase in LEO service sales and the substantial decrease in VSAT service sales. Competing LEO service providers have continued to expand their product and service offerings, further heightening competition in the global leisure segment and in commercial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sales increased by $0.4 million, or 10%, to $4.2 million for the three months ended March 31, 2026 from $3.8 million for the three months ended March 31, 2025. The increase in product sales was primarily due to a $0.7 million increase in OneWeb product sales and a $0.3 million increase in Starlink product sales, partially offset by a $0.5 million decrease in TracVision product sales and a $0.3 million decrease in VSAT Broadband product sales. Competition from low-cost alternatives to VSAT, which include streaming capabilities, has had a significant impact on sales of our TracVision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Costs of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Costs of sales consists of costs of service sales and costs of product sales. Costs of sales increased by $4.8 million, or 27%, in the three months ended March 31, 2026 to $22.8 million from $18.0 million in the three months ended March 31, 2025. The increase in costs of sales was driven by a $0.7 million increase in costs of product sales and a $4.1 million increase in costs of service sales. As a percentage of net sales, costs of sales were 70% and 71%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March 31, 2026, costs of service sales increased by $4.1 million, or 29%, to $18.4 million from $14.2 million in the three months ended March 31, 2025, primarily due to a $3.8 million increase in airtime costs of service sales. As a percentage of service sales, costs of service sales were 65% and 66%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costs of product sales consist primarily of materials, manufacturing overhead, and direct labor used to produce our products. For the three months ended March 31, 2026, costs of product sales increased by $0.7 million, or 18%, to $4.4 million from $3.7 million in the three months ended March 31, 2025, primarily due to a $0.5 million increase in various manufacturing and other unabsorbed expenses and a $0.6 million increase in OneWeb cost of product sales, partially offset by a $0.3 million decrease in TracVision cost of product sales and a $0.2 million decrease in VSAT Broadband cost of product sales. As a percentage of product sales, costs of product sales were 106% and 99% for the three months ended March 31, 2026 and 2025, respectively. Cost of product sales increased as a percentage of product sales primarily due to the increase in various manufacturing and other unabsorbed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March 31, 2026 decreased by $0.5 million, or 39%, to $0.7 million from $1.2 million for the three months ended March 31, 2025. The decrease in research and development expense resulted primarily from a $0.4 million decrease in salaries, benefits and taxes. As a percentage of net sales, research and development expense was 2% and 5% for the three months ended March 31,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March 31, 2026 were $5.1 million, an increase of $0.1 million, or 2%, from $5.0 million for the three months ended March 31, 2025. The increase in sales, marketing and support expense resulted primarily from a $0.4 million increase in salaries, benefits and taxes, partially offset by a $0.2 million decrease in facilities expense and a $0.1 million decrease in warranty expense. As a percentage of net sales, sales, marketing and support expense was 16% and 20% for the three months ended March 31, 2026 and 2025, respectively.</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March 31, 2026 increased by $0.3 million, or 10%, to $3.9 million from $3.5 million for the three months ended March 31, 2025. The increase in general and administrative expense resulted primarily from a $0.2 million increase in salaries, benefits and taxes and a $0.2 million increase in computer software and maintenance expenses, partially offset by a $0.1 million decrease in dues and subscriptions expense. As a percentage of net sales, general and administrative expense was 12% and 14% for the three months ended March 31,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represents interest earned on our cash and cash equivalents, as well as from investments and our sale-type lease receivables. Interest income remained flat at $0.6 million for the three months ended March 31, 2026 from $0.6 million for the three months ended March 31, 2025. Of the current period interest income of $0.6 million, $0.5 million is attributable to interest earned on cash and cash equivalents, while the remaining $0.1 million was attributable to interest from lease receivables. Other income, net increased by $0.2 million to other income, net of $0.2 million for the three months ended March 31, 2026 from other expense, net of less than $0.1 million for the three months ended March 31, 2025. This decrease was driven primarily by a $0.1 million gain on foreign exchange as well as a $0.1 million gain on the sales of fixed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March 31, 2026 was $0.1 million and primarily related to withholding taxes imposed in foreign jurisdictions. Income tax expense for the three months ended March 31, 2025 was less than $0.1 million and related to state taxes and taxes on income earned in foreign jurisdictions.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liquidity needs have been to fund general business requirements, including working capital requirements and capital expenditures. In recent years, we have funded our operations primarily from the sale of two businesses in 2022, the sale of 50 Enterprise Center, the sale of 75 Enterprise Center, cash flows from operations and proceeds received from exercises of stock options and the issuance of stock.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9, 2022, we sold our inertial navigation business to EMCORE Corporation for net proceeds of $54.9 million, less specified deductions.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$59.2 million in cash and cash equivalents, of which $3.0 million in cash equivalents was held in local currencies by our foreign subsidiaries. As of March 31, 2026, we had $101.7 million in working capital.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In recognition of the substantial growth of Starlink airtime services as a percentage of our revenue since the second quarter of 2024 and in an effort to increase margins, we entered an agreement in the fourth quarter of 2025 to purchase a substantial block of Starlink Global Priority data for $45.0 million. We made an upfront payment of $5.0 million upon entry into the agreement, a payment of $10.0 million in January 2026 and a payment of $6.0 million in February 2026. Periodic quarterly payments of the balance owed will continue over the course of the contract period, which runs through the first quarter of 2027.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Net cash used in operations was $8.3 million for the three months ended March 31, 2026 compared to net cash used in operations of $1.3 million for the three months ended March 31, 2025. The $7.0 million increase</w:t>
      </w:r>
      <w:r>
        <w:rPr>
          <w:color w:val="EE2724"/>
        </w:rPr>
        <w:t xml:space="preserve"> </w:t>
      </w:r>
      <w:r>
        <w:rPr>
          <w:rFonts w:ascii="Times New Roman;serif" w:hAnsi="Times New Roman;serif"/>
          <w:b w:val="false"/>
          <w:color w:val="000000"/>
          <w:sz w:val="20"/>
        </w:rPr>
        <w:t>in net cash used in operations was primarily the result of a $11.6 million increase in cash outflows related to prepaid expenses and other current assets, which reflected the $16.0 million purchase of Starlink pooled data in 2026, a $2.2 million decrease in cash inflows relating to accounts receivable, a $1.4 million reduction in non-cash items, and a $0.2 million increase in cash outflows relating to accrued compensation, product warranty and other expenses, partially offset by a $5.4 million decrease in cash outflows related to accounts payable, a $2.3 million decrease in net loss, and a $0.7 million decrease in cash outflows relating to inventories.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$2.4 million for the three months ended March 31, 2026 compared to net cash used in investing activities of $0.6 million for the three months ended March 31, 2025. The $1.8 million increase in net cash used in investing activities was primarily the result of a $1.4 million increase in capital expenditures, partially offset by a $0.4 million decrease of proceeds from the sale of fixed assets.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$0.1 million for the three months ended March 31, 2026 compared to net cash used in financing activities of $0.2 million for the three months ended March 31, 2025. The $0.1 million decrease in net cash used in financing activities is the result of a $0.1 million increase in cash inflows related to the proceeds from stock options exercised.</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9, 2024, our Board of Directors authorized a share repurchase program pursuant in which we may purchase outstanding shares of our common stock for an aggregate purchase price of up to $10 million. On March 6, 2026, our Board of Directors authorized an increase in the size of the repurchase program from $10 million to $15 million.</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or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34 thousand shares of common stock in open market transactions at a cost of approximately $0.2 million. Except as noted above, there were no other repurchase programs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Chief Executive Officer and Chief Financial Officer, our management has evaluated the effectiveness of our disclosure controls and procedures as of March 31, 2026, the end of the period covered by this interim report. Based on that evaluation, our Chief Executive Officer and Chief Financial Officer concluded that our disclosure controls and procedures were effective as of March 31, 2026.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Changes in Internal Control over Financial Reporting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Under the supervision and with the participation of our Chief Executive Officer and Chief Financial Officer, our management has evaluated changes in our internal control over financial reporting that occurred during the first quarter</w:t>
      </w:r>
      <w:r>
        <w:rPr>
          <w:color w:val="EE2724"/>
        </w:rPr>
        <w:t xml:space="preserve"> </w:t>
      </w:r>
      <w:r>
        <w:rPr>
          <w:rFonts w:ascii="Times New Roman;serif" w:hAnsi="Times New Roman;serif"/>
          <w:b w:val="false"/>
          <w:color w:val="000000"/>
          <w:sz w:val="20"/>
        </w:rPr>
        <w:t>of 2026. Based on that evaluation, our Chief Executive Officer and Chief Financial Officer did not identify any change in our internal control over financial reporting during the first quarter of 2026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Important Considerations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9, 2024, our Board of Directors authorized a share repurchase program pursuant in which we may purchase outstanding shares of our common stock for an aggregate purchase price of up to $10 million. On March 6, 2026, our Board of Directors authorized an increase in the size of the repurchase program from $10 million to $15 million.</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34,286 shares of common stock in open market transactions at a cost of approximately $0.2 million. Except as noted above, there were no other repurchase programs outstanding.</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three months ended March 31, 2026, no vested restricted shares were surrendered to us in satisfaction of tax withholding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 of common stock during the three months ended March 31, 2026.</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524"/>
        <w:gridCol w:w="409"/>
        <w:gridCol w:w="414"/>
        <w:gridCol w:w="588"/>
        <w:gridCol w:w="489"/>
        <w:gridCol w:w="491"/>
        <w:gridCol w:w="382"/>
        <w:gridCol w:w="737"/>
        <w:gridCol w:w="197"/>
        <w:gridCol w:w="995"/>
        <w:gridCol w:w="923"/>
        <w:gridCol w:w="925"/>
        <w:gridCol w:w="455"/>
        <w:gridCol w:w="2335"/>
        <w:gridCol w:w="341"/>
      </w:tblGrid>
      <w:tr>
        <w:trPr/>
        <w:tc>
          <w:tcPr>
            <w:tcW w:w="5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13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r>
              <w:rPr>
                <w:color w:val="000000"/>
              </w:rPr>
              <w:t xml:space="preserve"> </w:t>
            </w:r>
          </w:p>
        </w:tc>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13,257,502 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17,059 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13,155,719 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17,227 </w:t>
            </w:r>
          </w:p>
        </w:tc>
        <w:tc>
          <w:tcPr>
            <w:tcW w:w="9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13,051,549 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34,286 </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Does not include broker commissions.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under the Exchange Act) adopted or terminated any Rule 10b5-1 trading arrangement or non-Rule 10b5-1 trading arrangement (each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Exhibits: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6"/>
        <w:gridCol w:w="225"/>
        <w:gridCol w:w="207"/>
        <w:gridCol w:w="109"/>
        <w:gridCol w:w="109"/>
        <w:gridCol w:w="109"/>
        <w:gridCol w:w="1501"/>
        <w:gridCol w:w="1389"/>
        <w:gridCol w:w="1402"/>
        <w:gridCol w:w="109"/>
        <w:gridCol w:w="109"/>
        <w:gridCol w:w="109"/>
        <w:gridCol w:w="367"/>
        <w:gridCol w:w="367"/>
        <w:gridCol w:w="368"/>
        <w:gridCol w:w="109"/>
        <w:gridCol w:w="109"/>
        <w:gridCol w:w="109"/>
        <w:gridCol w:w="170"/>
        <w:gridCol w:w="170"/>
        <w:gridCol w:w="171"/>
        <w:gridCol w:w="110"/>
        <w:gridCol w:w="110"/>
        <w:gridCol w:w="110"/>
        <w:gridCol w:w="347"/>
        <w:gridCol w:w="319"/>
        <w:gridCol w:w="320"/>
        <w:gridCol w:w="110"/>
        <w:gridCol w:w="110"/>
        <w:gridCol w:w="110"/>
        <w:gridCol w:w="285"/>
        <w:gridCol w:w="285"/>
        <w:gridCol w:w="415"/>
      </w:tblGrid>
      <w:tr>
        <w:trPr/>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w:t>
              <w:br/>
              <w:t>this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2010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Designations of Series A Junior Participating Cumulative Preferred Stock of KVH Industries, Inc. classifying and designating the Series A Junior Participating Cumulative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 2017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Specimen certificate for the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2018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3312026ex42capitalstock.htm">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331202610q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331202610q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331202610q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principal executive officer and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KVH Industries, Inc.'s Quarterly Report on Form 10-Q for the quarter ended March 31, 2026, formatted in Inline XBRL (Extensible Business Reporting Language): (i) the Consolidated Balance Sheets (unaudited), (ii) the Consolidated Statements of Operations (unaudited), (iii) the Consolidated Statements of Comprehensive Income (Loss) (unaudited), (iv) the Consolidated Statements of Stockholders' Equity (unaudited), (v) the Consolidated Statements of Cash Flows (unaudited), and (vi) the Notes to Consolidated Interim Financial Statements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9" w:type="dxa"/>
        <w:jc w:val="right"/>
        <w:tblInd w:w="0" w:type="dxa"/>
        <w:tblLayout w:type="fixed"/>
        <w:tblCellMar>
          <w:top w:w="28" w:type="dxa"/>
          <w:left w:w="28" w:type="dxa"/>
          <w:bottom w:w="28" w:type="dxa"/>
          <w:right w:w="28" w:type="dxa"/>
        </w:tblCellMar>
      </w:tblPr>
      <w:tblGrid>
        <w:gridCol w:w="312"/>
        <w:gridCol w:w="274"/>
        <w:gridCol w:w="274"/>
        <w:gridCol w:w="1158"/>
        <w:gridCol w:w="1158"/>
        <w:gridCol w:w="164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r>
      <w:tr>
        <w:trPr/>
        <w:tc>
          <w:tcPr>
            <w:tcW w:w="4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KVH Industries, Inc.</w:t>
            </w:r>
          </w:p>
        </w:tc>
      </w:tr>
      <w:tr>
        <w:trPr/>
        <w:tc>
          <w:tcPr>
            <w:tcW w:w="4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F. PIKE</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Anthony F. Pike</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(Duly Authorized Officer and Chief Financial</w:t>
              <w:br/>
              <w:t>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4.2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DESCRIPTION OF CAPITAL STOCK</w:t>
      </w:r>
    </w:p>
    <w:p>
      <w:pPr>
        <w:pStyle w:val="TextBody"/>
        <w:bidi w:val="0"/>
        <w:spacing w:lineRule="auto" w:line="288" w:before="0" w:after="240"/>
        <w:ind w:left="0" w:right="0" w:firstLine="720"/>
        <w:jc w:val="left"/>
        <w:rPr/>
      </w:pPr>
      <w:r>
        <w:rPr>
          <w:rFonts w:ascii="Times New Roman;serif" w:hAnsi="Times New Roman;serif"/>
          <w:b w:val="false"/>
          <w:color w:val="000000"/>
          <w:sz w:val="24"/>
          <w:shd w:fill="FFFFFF" w:val="clear"/>
        </w:rPr>
        <w:t>The following description of the capital stock of KVH Industries, Inc. (the “Company,” “we,” “us,” and “our”) is qualified in its entirety by reference to our Amended and Restated Certificate of Incorporation (our “certificate of incorporation”), our Certificate of Designations of Series A Junior Participating Cumulative Preferred Stock (our “certificate of designation”) and our Amended and Restated Bylaws (our “by-laws”), copies of which are incorporated by reference as exhibits to our most recent Annual Report on Form 10-K filed with the Securities and Exchange Commission, and applicable provisions of the </w:t>
      </w:r>
      <w:r>
        <w:rPr>
          <w:rFonts w:ascii="Times New Roman;serif" w:hAnsi="Times New Roman;serif"/>
          <w:b w:val="false"/>
          <w:color w:val="000000"/>
          <w:sz w:val="24"/>
        </w:rPr>
        <w:t>Delaware General Corporation Law</w:t>
      </w:r>
      <w:r>
        <w:rPr>
          <w:rFonts w:ascii="Times New Roman;serif" w:hAnsi="Times New Roman;serif"/>
          <w:b w:val="false"/>
          <w:color w:val="000000"/>
          <w:sz w:val="24"/>
          <w:shd w:fill="FFFFFF" w:val="clear"/>
        </w:rPr>
        <w:t>. We encourage you to read our certificate of incorporation, certificate of designation, by-laws and the applicable provisions of the </w:t>
      </w:r>
      <w:r>
        <w:rPr>
          <w:rFonts w:ascii="Times New Roman;serif" w:hAnsi="Times New Roman;serif"/>
          <w:b w:val="false"/>
          <w:color w:val="000000"/>
          <w:sz w:val="24"/>
        </w:rPr>
        <w:t>Delaware General Corporation Law </w:t>
      </w:r>
      <w:r>
        <w:rPr>
          <w:rFonts w:ascii="Times New Roman;serif" w:hAnsi="Times New Roman;serif"/>
          <w:b w:val="false"/>
          <w:color w:val="000000"/>
          <w:sz w:val="24"/>
          <w:shd w:fill="FFFFFF" w:val="clear"/>
        </w:rPr>
        <w:t>for additional information.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are authorized to issue 30,000,000 shares of common stock, par value $0.01 per share.</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Voting.</w:t>
      </w:r>
      <w:r>
        <w:rPr>
          <w:color w:val="000000"/>
        </w:rPr>
        <w:t> </w:t>
      </w:r>
      <w:r>
        <w:rPr>
          <w:rFonts w:ascii="Times New Roman;serif" w:hAnsi="Times New Roman;serif"/>
          <w:b w:val="false"/>
          <w:color w:val="000000"/>
          <w:sz w:val="24"/>
        </w:rPr>
        <w:t>Holders of our common stock are entitled to one vote per share held of record on all matters to be voted upon by our stockholders. Our common stock does not have cumulative voting rights. The holders of a majority of the stock issued and outstanding and entitled to vote, present in person or represented by proxy, constitute a quorum for the transaction of business at a stockholder meeting. Our by-laws provide that, when a quorum is present at any stockholder meeting, any question before such meeting (other than a contested election of directors) shall be decided by a majority of the votes properly cast for and against such matter, except where a larger vote is required by law, our certificate of incorporation or our by-laws. A majority of the votes properly cast on an election or other matter means that the number of votes properly cast “for” the election or other matter exceeds the number of votes properly cast “against” the election or other matter. Abstentions and shares as to which a stockholder gives no authority or direction are not counted as votes cast. In a contested election, the directors shall be elected by a plurality of the votes properly cast on the election of directors. An election is contested if we determine that, as of the date that is ten days before we file our definitive proxy statement for the meeting, the number of nominees exceeds the number of directors to be elected. As a result, subject to the voting rights of any outstanding shares of our preferred stock, persons who hold a majority of the outstanding common stock entitled to vote on the election of directors can elect all of the directors who are eligible for election in a particular year.</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Dividends.</w:t>
      </w:r>
      <w:r>
        <w:rPr>
          <w:color w:val="000000"/>
        </w:rPr>
        <w:t> </w:t>
      </w:r>
      <w:r>
        <w:rPr>
          <w:rFonts w:ascii="Times New Roman;serif" w:hAnsi="Times New Roman;serif"/>
          <w:b w:val="false"/>
          <w:color w:val="000000"/>
          <w:sz w:val="24"/>
        </w:rPr>
        <w:t>Subject to preferences that may be applicable to the holders of any outstanding shares of our preferred stock, the holders of our common stock are entitled to receive such lawful dividends as may be declared by our board of directors out of funds legally available for this purpose. As a Delaware corporation, we are subject to statutory limitations on the declaration and payment of dividends. We have never declared or paid cash dividends on our capital stock, and we have no plan to pay any cash dividends in the foreseeable future.</w:t>
      </w:r>
    </w:p>
    <w:p>
      <w:pPr>
        <w:pStyle w:val="TextBody"/>
        <w:bidi w:val="0"/>
        <w:spacing w:before="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i/>
          <w:color w:val="000000"/>
          <w:sz w:val="24"/>
        </w:rPr>
        <w:t>Liquidation and Dissolution.</w:t>
      </w:r>
      <w:r>
        <w:rPr>
          <w:color w:val="000000"/>
        </w:rPr>
        <w:t> </w:t>
      </w:r>
      <w:r>
        <w:rPr>
          <w:rFonts w:ascii="Times New Roman;serif" w:hAnsi="Times New Roman;serif"/>
          <w:b w:val="false"/>
          <w:color w:val="000000"/>
          <w:sz w:val="24"/>
        </w:rPr>
        <w:t>In the event of our liquidation, dissolution or winding up, and subject to the rights of the holders of any outstanding shares of our preferred stock, the holders of shares of our common stock will be entitled to receive pro rata all of our remaining assets available for distribution to our stockholders.</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Other Rights and Restrictions</w:t>
      </w:r>
      <w:r>
        <w:rPr>
          <w:rFonts w:ascii="Times New Roman;serif" w:hAnsi="Times New Roman;serif"/>
          <w:b w:val="false"/>
          <w:color w:val="000000"/>
          <w:sz w:val="24"/>
        </w:rPr>
        <w:t>. Holders of our common stock do not have preemptive, subscription, redemption or conversion rights. All outstanding shares are fully paid and nonassessable.</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Listing.</w:t>
      </w:r>
      <w:r>
        <w:rPr>
          <w:color w:val="000000"/>
        </w:rPr>
        <w:t> </w:t>
      </w:r>
      <w:r>
        <w:rPr>
          <w:rFonts w:ascii="Times New Roman;serif" w:hAnsi="Times New Roman;serif"/>
          <w:b w:val="false"/>
          <w:color w:val="000000"/>
          <w:sz w:val="24"/>
        </w:rPr>
        <w:t>Our common stock is quoted on the Nasdaq Global Select Market under the trading symbol “KVHI.”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rights of the holders of our common stock are subject to, and may be adversely affected by, the rights of the holders of shares of any series of preferred stock that we may issue in the future.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certificate of incorporation allows us to issue, without stockholder approval, preferred stock having rights senior to those of our common stock. Our board of directors is authorized to issue up to 1,000,000 shares of preferred stock, par value $0.01 per share, in one or more series and to fix and designate the powers, designations, preferences and relative, participating, optional or other special rights of each class of preferred stock or series thereof and the qualifications, limitations or restrictions, if any, of such preferred stock. Our board of directors may fix the number of shares constituting any series of preferred stock and the designations of the series. Our board of directors has designated 3,000 shares of preferred stock as Series A Junior Participating Cumulative Preferred Stock (“Series A Preferred Stock”).</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Series A Preferred Stock</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any shares of Series A Preferred Stock, if issued, will be entitled, among other things, to receive certain minimum quarterly dividends, to vote together with our common stock and other shares of capital stock having general voting rights as one class, to elect certain directors upon the occurrence of specified dividend arrearages, and to receive certain preferential payments in the event of our liquidation, dissolution or winding up. If any dividends payable on shares of Series A Preferred Stock are in arrears, we will be subject to specified limitations on dividends, distributions and redemptions of specified securities.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Restrictions on Sales of Certain Securities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by-laws provide that, unless approved by the affirmative vote of the holders of a majority of our capital stock present and entitled to vote at a meeting of stockholders, we may not: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 xml:space="preserve">sell or issue any security convertible into or exercisable or exchangeable for shares of common stock, for a conversion, exercise or exchange price per share which is subject to </w:t>
      </w:r>
    </w:p>
    <w:p>
      <w:pPr>
        <w:pStyle w:val="TextBody"/>
        <w:bidi w:val="0"/>
        <w:spacing w:before="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adjustment based on the market price of the common stock at the time of conversion, exercise or exchange of such security into common stock;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enter into any equity line or similar agreement or arrangement, or any agreement to sell common stock at a price which is fixed after the date of the agreement, whether or not based on any predetermined price-setting formula or calculation method.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provision of our by-laws may not be amended or repealed without the affirmative vote of the holders of a majority of the shares of our capital stock present and entitled to vote at a duly convened meeting of our stockholders, nor may the foregoing restriction on amendment or repeal be amended or repealed without such a vote.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Anti-Takeover Effect of Unissued Shares of Capital Stock</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Common Stock</w:t>
      </w:r>
      <w:r>
        <w:rPr>
          <w:rFonts w:ascii="Times New Roman;serif" w:hAnsi="Times New Roman;serif"/>
          <w:b w:val="false"/>
          <w:color w:val="000000"/>
          <w:sz w:val="24"/>
        </w:rPr>
        <w:t>. Except as described under the heading “Description of Capital Stock –Restrictions on Sales of Certain Securities,” our shares of authorized and unissued common stock are available for future issuance without additional stockholder approval. While these additional shares are not designed to deter or prevent a change of control and may be used for a variety of corporate purposes,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Preferred Stock</w:t>
      </w:r>
      <w:r>
        <w:rPr>
          <w:rFonts w:ascii="Times New Roman;serif" w:hAnsi="Times New Roman;serif"/>
          <w:b w:val="false"/>
          <w:color w:val="000000"/>
          <w:sz w:val="24"/>
        </w:rPr>
        <w:t>. Except as described under the heading “Description of Capital Stock –Restrictions on Sales of Certain Securities,” our certificate of incorporation grants our board of directors the authority, without additional stockholder approval, to issue preferred stock in one or more series and to fix the number of shares constituting any such series and the powers, designations, preferences and relative, participating, optional or other special rights of each class of preferred stock or series thereof and the qualifications, limitations or restrictions, if any, of the shares constituting any series of preferred stock.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any of our securities at a premium over the market price of such securities, and may adversely affect the market price of, and the voting and other rights of the holders of, such securities.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Certain Anti-Takeover Provisions of Delaware Law, our Certificate of Incorporation and our By-laws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Certain provisions of Delaware law, our certificate of incorporation and our by-laws could make it more difficult to acquire us by means of a tender offer, a proxy contest or otherwise and to remove our incumbent directors and officers. These provisions, which are summarized below, are expected to discourage certain types of coercive takeover practices and inadequate takeover bids and to encourage persons seeking to acquire control of us to first negotiate with us. We believe that the benefits of increased protection of our potential ability to </w:t>
      </w:r>
    </w:p>
    <w:p>
      <w:pPr>
        <w:pStyle w:val="TextBody"/>
        <w:bidi w:val="0"/>
        <w:spacing w:before="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These measures may, however, deter hostile takeovers or delay changes in control of the Company, which could depress the market price of our securities and which could deprive stockholders of opportunities to realize a premium on securities held by them.</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Section 203 of the Delaware General Corporation Law.</w:t>
      </w:r>
      <w:r>
        <w:rPr>
          <w:color w:val="000000"/>
        </w:rPr>
        <w:t> </w:t>
      </w:r>
      <w:r>
        <w:rPr>
          <w:rFonts w:ascii="Times New Roman;serif" w:hAnsi="Times New Roman;serif"/>
          <w:b w:val="false"/>
          <w:color w:val="000000"/>
          <w:sz w:val="24"/>
        </w:rPr>
        <w:t>We are subject to Section 203 of the Delaware General Corporation Law, or Section 203, which is applicable to certain takeovers of Delaware corporations. This law prohibits a publicly held Delaware corporation from engaging in any business combination with any interested stockholder for a period of three years following the time that the stockholder became an interested stockholder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prior to the transaction, the board of directors of the corporation approved either the business combination or the transaction which resulted in the stockholder becoming an interested stockholder;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at or subsequent to such time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Section 203 defines “business combination” to include: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generally, any merger or consolidation between the corporation or its majority-owned subsidiaries and the interested stockholder;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any sale, lease, exchange, mortgage, pledge, transfer or disposition to or with the interested stockholder of assets having an aggregate market value equal to 10% or more of the aggregate market value of the consolidated assets or outstanding stock of the corporation;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in general, any transaction that results in the issuance or transfer of stock of the corporation or any of its majority-owned subsidiaries to the interested stockholder;</w:t>
      </w:r>
    </w:p>
    <w:p>
      <w:pPr>
        <w:pStyle w:val="TextBody"/>
        <w:bidi w:val="0"/>
        <w:spacing w:before="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any transaction involving the corporation or one of its majority-owned subsidiaries that has the effect of increasing the proportionate share of capital stock or convertible securities owned by the interested stockholder;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any receipt by the interested stockholder of the benefit of any loans, advances, guarantees, pledges or other financial benefits provided by or through the corporation or its majority-owned subsidiaries.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general, Section 203 defines an “interested stockholder” as any person or entity that is the owner of 15% or more of the outstanding voting stock of a corporation or is an affiliate or associate of the corporation and was the owner of 15% or more of the outstanding voting stock of the corporation at any time within the 3-year period immediately prior to the relevant date, together with the affiliates and associates of such person or entity.</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Staggered Board; Removal of Directors</w:t>
      </w:r>
      <w:r>
        <w:rPr>
          <w:rFonts w:ascii="Times New Roman;serif" w:hAnsi="Times New Roman;serif"/>
          <w:b w:val="false"/>
          <w:color w:val="000000"/>
          <w:sz w:val="24"/>
        </w:rPr>
        <w:t>. Our certificate of incorporation and by-laws provide: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for the division of the board of directors into three classes as nearly equal in size as possible with staggered three-year terms;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that directors may be removed only for cause by the affirmative vote of the holders of two-thirds of our shares of capital stock entitled to vote;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that any vacancy on the board of directors, however occurring, including a vacancy resulting from an enlargement of the board, may be filled only by the vote of a majority of the directors then in office.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staggered board and the limitations on the removal of directors and the filling of vacancies could have the effect of making it more difficult for a third party to acquire, or of discouraging a third party from acquiring, control of us. Our certificate of incorporation and by-laws require the affirmative vote of the holders of at least 75% of our shares of capital stock issued and outstanding and entitled to vote to amend or repeal any of these provisions, including the 75% supermajority provision itself.</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Stockholder Action; Special Meeting of Stockholders.</w:t>
      </w:r>
      <w:r>
        <w:rPr>
          <w:color w:val="000000"/>
        </w:rPr>
        <w:t> </w:t>
      </w:r>
      <w:r>
        <w:rPr>
          <w:rFonts w:ascii="Times New Roman;serif" w:hAnsi="Times New Roman;serif"/>
          <w:b w:val="false"/>
          <w:color w:val="000000"/>
          <w:sz w:val="24"/>
        </w:rPr>
        <w:t>Our certificate of incorporation and by-laws provide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any action required or permitted to be taken by our stockholders at an annual meeting or special meeting of stockholders may only be taken if it is properly brought before the meeting;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stockholder action may not be taken by written action in lieu of a meeting;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special meetings of the stockholders may only be called by our president or by our board of directors.</w:t>
      </w:r>
    </w:p>
    <w:p>
      <w:pPr>
        <w:pStyle w:val="TextBody"/>
        <w:bidi w:val="0"/>
        <w:spacing w:before="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foregoing provisions could have the effect of delaying until the next stockholders’ meeting stockholder actions that are favored by the holders of a majority of our outstanding voting securities. These provisions may also discourage another person or entity from making a tender offer for our common stock, because that person or entity, even if it acquired a majority of our outstanding voting securities, would be able to take action as a stockholder only at a duly called stockholders’ meeting, and not by written consent. Our certificate of incorporation and by-laws require the affirmative vote of the holders of at least 75% of our shares of capital stock issued and outstanding and entitled to vote to amend or repeal any of these provisions, including the 75% supermajority provision itself.</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Advance Notice Requirements for Stockholder Proposals and Director Nominations</w:t>
      </w:r>
      <w:r>
        <w:rPr>
          <w:rFonts w:ascii="Times New Roman;serif" w:hAnsi="Times New Roman;serif"/>
          <w:b w:val="false"/>
          <w:color w:val="000000"/>
          <w:sz w:val="24"/>
        </w:rPr>
        <w:t>. Our by-laws provide that nominations for election to the board of directors may be made either by the board or by a stockholder who complies with specified advance notice provisions. Our by-laws contain similar advance notice provisions for stockholder proposals for action at a stockholders’ meeting. These provisions prevent stockholders from making nominations for directors and proposals from the floor at any stockholders’ meeting and require any stockholder making a nomination or proposal to give us advance notice of the names of the nominees or the stockholder proposal, together with specified information about the nominee or any stockholder proposal, before the meeting at which directors are to be elected or action is to be taken. Our secretary must generally receive the notice at least 90 days, but no more than 120 days, before the date specified in our by-laws for the date of the annual meeting. The notice must contain, among other things, a description of the business the stockholder desires to bring before the meeting, its reasons for doing so, the text of the proposal, the name and address of the stockholder, any material interest the stockholder may have in the business, the stockholder’s beneficial ownership of our securities and disclosure of derivative or short positions, profits interests, options, hedging transactions, borrowed or loaned shares or other agreements, arrangements or understandings the effect or intent of which is to mitigate loss, manage risk or benefit from changes in prices of our capital stock or increase or decrease voting power in our stock. If the proponent does not appear at the annual meeting or send a qualified representative to propose its business or make its nomination, such business will not be transacted and such nomination will be disregarded.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These provisions may have the effect of delaying stockholder action. Our certificate of incorporation and by-laws require the affirmative vote of the holders of at least 75% of our shares of capital stock issued and outstanding and entitled to vote to amend or repeal these provisions, including the 75% supermajority provision itself.</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Amendment of By-Laws</w:t>
      </w:r>
      <w:r>
        <w:rPr>
          <w:rFonts w:ascii="Times New Roman;serif" w:hAnsi="Times New Roman;serif"/>
          <w:b w:val="false"/>
          <w:color w:val="000000"/>
          <w:sz w:val="24"/>
        </w:rPr>
        <w:t xml:space="preserve">. Our board of directors has the power to make, alter, amend or repeal by-laws without a stockholder vote by the affirmative vote of a majority of the directors present at any regular or special meeting of the board of directors at which a quorum is present, except as otherwise provided by law, our certificate of incorporation or our by-laws. For example, under our by-laws, the board does not have the power to amend or repeal the by-laws that impose restrictions on sales of certain securities without a stockholder vote. Accordingly, our board of directors could modify certain rights of stockholders without stockholder approval. Although our stockholders generally have the power to make, alter, amend or repeal by-laws by </w:t>
      </w:r>
    </w:p>
    <w:p>
      <w:pPr>
        <w:pStyle w:val="TextBody"/>
        <w:bidi w:val="0"/>
        <w:spacing w:before="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affirmative vote of the holders of a majority of the shares of our capital stock issued and outstanding and entitled to vote, the affirmative vote of the holders of 75% of the shares of our capital stock issued and outstanding and entitled to vote is required in order for our stockholders to amend or repeal, or adopt any provision inconsistent with, the sections of our by-laws regarding (a) the call of, or business to be transacted at, special meetings of stockholders, (b) the giving of notice of stockholder business at any annual meeting of stockholders, (c) matters involving our directors, including among others number, tenure, class, term, powers, vacancies, nomination, committees, meetings, action, compensation, conflicts of interest, resignation and removal, and (d) the alteration, amendment, repeal or adoption of by-laws.</w:t>
      </w:r>
    </w:p>
    <w:p>
      <w:pPr>
        <w:pStyle w:val="TextBody"/>
        <w:bidi w:val="0"/>
        <w:spacing w:lineRule="auto" w:line="288" w:before="0" w:after="240"/>
        <w:ind w:left="0" w:right="0" w:firstLine="720"/>
        <w:jc w:val="left"/>
        <w:rPr/>
      </w:pPr>
      <w:r>
        <w:rPr>
          <w:rFonts w:ascii="Times New Roman;serif" w:hAnsi="Times New Roman;serif"/>
          <w:b w:val="false"/>
          <w:i/>
          <w:color w:val="000000"/>
          <w:sz w:val="24"/>
        </w:rPr>
        <w:t>Limitation of Liability and Indemnification</w:t>
      </w:r>
      <w:r>
        <w:rPr>
          <w:rFonts w:ascii="Times New Roman;serif" w:hAnsi="Times New Roman;serif"/>
          <w:b w:val="false"/>
          <w:color w:val="000000"/>
          <w:sz w:val="24"/>
        </w:rPr>
        <w:t>. Our certificate of incorporation and by-laws contain provisions to limit the liability of our directors to the maximum extent permitted by Delaware law. As a result, our directors will not be personally liable for monetary damages for breach of their fiduciary duties as a director, except for liability: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for any breach of the director’s duty of loyalty to us or our stockholders;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for acts or omissions not in good faith or which involve intentional misconduct or a knowing violation of law;</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for unlawful payments of dividends or unlawful stock repurchases or redemptions as provided under Section 174 of the Delaware General Corporation Law;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for any transaction from which the director derived an improper personal benefit.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certificate of incorporation generally provides for the indemnification of our directors and officers to the extent they: (a) act in good faith and in a manner they reasonably believe to be in, or not opposed to, our best interests, and, with respect to any criminal action or proceeding, have no reasonable cause to believe that their conduct is unlawful; or (b) are successful on the merits in defense of an action, suit or proceeding in accordance with Delaware law. In certain circumstances relating to suits by or in our right, we may provide indemnification despite an adjudication of liability if such indemnified person is fairly and reasonably entitled to indemnity, to the extent the Court of Chancery of Delaware or the court in which such action or suit was brought determines appropriate. In certain circumstances, our certificate of incorporation requires us to advance expenses incurred by an indemnified person in connection with the defense of any action or proceeding arising out of the person’s status or service as our director, officer, employee or other agent upon an undertaking by the person to repay those advances if it is ultimately determined that the person is not entitled to indemnification. We believe that these provisions will assist us in attracting and retaining qualified individuals to serve as directors and officers.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Transfer Agent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transfer agent for our common stock is Computershare,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 or 15d-14 under the Securities Exchange Act of 1934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Brent C. Bruun, certify that: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KVH Industries, Inc.;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528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02"/>
        <w:gridCol w:w="1302"/>
        <w:gridCol w:w="13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C. Bruun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Brent C. Bruun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 or 15d-14 under the Securities Exchange Act of 1934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Anthony F. Pike, certify that: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KVH Industries, Inc.;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ind w:left="0" w:right="0" w:hanging="54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3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 Pike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Anthony F. Pike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KVH Industries, Inc. (the “Company”) for the quarter ended March 31, 2026,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 </w:t>
      </w:r>
    </w:p>
    <w:p>
      <w:pPr>
        <w:pStyle w:val="TextBody"/>
        <w:bidi w:val="0"/>
        <w:spacing w:before="100" w:after="100"/>
        <w:jc w:val="both"/>
        <w:rPr/>
      </w:pPr>
      <w:r>
        <w:rPr/>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Act of 1934;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434" w:type="dxa"/>
        <w:jc w:val="right"/>
        <w:tblInd w:w="0" w:type="dxa"/>
        <w:tblLayout w:type="fixed"/>
        <w:tblCellMar>
          <w:top w:w="28" w:type="dxa"/>
          <w:left w:w="28" w:type="dxa"/>
          <w:bottom w:w="28" w:type="dxa"/>
          <w:right w:w="28" w:type="dxa"/>
        </w:tblCellMar>
      </w:tblPr>
      <w:tblGrid>
        <w:gridCol w:w="216"/>
        <w:gridCol w:w="191"/>
        <w:gridCol w:w="192"/>
        <w:gridCol w:w="1302"/>
        <w:gridCol w:w="1302"/>
        <w:gridCol w:w="1310"/>
        <w:gridCol w:w="109"/>
        <w:gridCol w:w="109"/>
        <w:gridCol w:w="109"/>
        <w:gridCol w:w="194"/>
        <w:gridCol w:w="194"/>
        <w:gridCol w:w="196"/>
        <w:gridCol w:w="586"/>
        <w:gridCol w:w="586"/>
        <w:gridCol w:w="83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Brent C. Bruun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Anthony F. Pike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C. Bruun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 Pike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7587/000119312510179682/dex31.htm" TargetMode="External"/><Relationship Id="rId3" Type="http://schemas.openxmlformats.org/officeDocument/2006/relationships/hyperlink" Target="https://www.sec.gov/Archives/edgar/data/1007587/000110465922092774/tm2223782d1_ex3-1.htm" TargetMode="External"/><Relationship Id="rId4" Type="http://schemas.openxmlformats.org/officeDocument/2006/relationships/hyperlink" Target="https://www.sec.gov/Archives/edgar/data/1007587/000100758717000038/kvhi1101201710qex32.htm" TargetMode="External"/><Relationship Id="rId5" Type="http://schemas.openxmlformats.org/officeDocument/2006/relationships/hyperlink" Target="https://www.sec.gov/Archives/edgar/data/1007587/000100758718000006/kvhi12312017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18469</Words>
  <Characters>101989</Characters>
  <CharactersWithSpaces>119702</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