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Deckoff Stephen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5330 YACHT HAVEN GRANDE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 BOX 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THOMAS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KVH INDUSTRIES INC \DE\</w:t>
              </w:r>
            </w:hyperlink>
            <w:r>
              <w:rPr/>
              <w:t xml:space="preserve"> [ </w:t>
            </w:r>
            <w:r>
              <w:rPr>
                <w:rFonts w:ascii="Times;serif" w:hAnsi="Times;serif"/>
                <w:color w:val="0000FF"/>
                <w:sz w:val="24"/>
                <w:shd w:fill="FFFFFF" w:val="clear"/>
              </w:rPr>
              <w:t>KVHI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612"/>
        <w:gridCol w:w="1316"/>
        <w:gridCol w:w="991"/>
        <w:gridCol w:w="10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9,506</w:t>
            </w:r>
            <w:r>
              <w:rPr>
                <w:rFonts w:ascii="Times;serif" w:hAnsi="Times;serif"/>
                <w:color w:val="008000"/>
                <w:position w:val="7"/>
                <w:sz w:val="16"/>
                <w:sz w:val="20"/>
                <w:shd w:fill="FFFFFF" w:val="clear"/>
              </w:rPr>
              <w:t>(5)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(2)(4)</w:t>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3,508,824</w:t>
            </w:r>
            <w:r>
              <w:rPr>
                <w:rFonts w:ascii="Times;serif" w:hAnsi="Times;serif"/>
                <w:color w:val="008000"/>
                <w:position w:val="7"/>
                <w:sz w:val="16"/>
                <w:sz w:val="20"/>
                <w:shd w:fill="FFFFFF" w:val="clear"/>
              </w:rPr>
              <w:t>(5)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 (3) &amp; (4)</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Deckoff Stephen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5330 YACHT HAVEN GRANDE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 BOX 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THOMAS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Black Diamond Capital Management I, LLLP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5330 YACHT HAVEN GRANDE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 BOX 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THOMAS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 for continuation on KVH's board of directors issued pursuant to the terms &amp; conditions of KVH Industries' 2016 Amended and Restated Equity &amp; Incentive Plan. Restricted stock will vest in four installments on each of 11/20/2026, 2/20/2027, 5/20/2027, and 8/20/2027, provided Mr. Deckoff is still a board member of KVH Industries, Inc.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restricted stock are held of record by Mr. Deckoff for the benefit of Black Diamond and/or the Black Diamond vehicles (each as defined herein) and will be transferred to Black Diamond or the Black Diamond vehicles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Common Stock ("Shares") are held directly by certain investment vehicles (the "Black Diamond vehicles") managed by Black Diamond Capital Management I, LLLP ("Black Diamond"). Mr. Deckoff is the Managing Principal of Black Diamond.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over the Shares, except to the extent of its or his pecuniary interest therein, and this statement shall not be construed as an admission that such Reporting Person is the beneficial owner of any Shares for purposes of Section 16 of the Securities Exchange Act of 1934, as amended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Reported amounts have been adjusted to reflect the transfer, since the most recent Form 4 filed on December 9, 2025, of 10,228 Shares from Mr. Deckoff to Black Diamond upon the vesting and settlement of restricted stock previously granted to Mr. Deckoff, which transfer was exempt from Section 16 of the Exchange Act by virtue of Rule 16a-13 thereunder.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H. Deckoff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 Diamond Capital Management I, LLLP, By: /s/ Stephen H. Deckoff, Managing Principal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6844" TargetMode="External"/><Relationship Id="rId5" Type="http://schemas.openxmlformats.org/officeDocument/2006/relationships/hyperlink" Target="http://www.sec.gov/cgi-bin/browse-edgar?action=getcompany&amp;CIK=0001007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486844" TargetMode="External"/><Relationship Id="rId10" Type="http://schemas.openxmlformats.org/officeDocument/2006/relationships/hyperlink" Target="http://www.sec.gov/cgi-bin/browse-edgar?action=getcompany&amp;CIK=0002084285"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917</Words>
  <Characters>4887</Characters>
  <CharactersWithSpaces>5699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