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KVH INDUSTRIES INC \DE\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JEC II Associates,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747,448.00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747,448.00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747,448.00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 purposes of calculating beneficial ownership in this Schedule 13G/A, the total number of shares of Common Stock outstanding is 18,140,962 as of August 3, 2026, as disclosed by the Issuer in its Quarterly Report on Form 10-Q filed on August 6, 2026 with the Securities and Exchange Commission. The percentage provided represents the number of shares of Common Stock beneficially owned by the applicable Reporting Person divided by the number of shares of Common Stock outstanding as reported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07"/>
        <w:gridCol w:w="8198"/>
      </w:tblGrid>
      <w:tr>
        <w:trPr/>
        <w:tc>
          <w:tcPr>
            <w:tcW w:w="2007" w:type="dxa"/>
            <w:tcBorders/>
            <w:vAlign w:val="center"/>
          </w:tcPr>
          <w:p>
            <w:pPr>
              <w:pStyle w:val="TableContents"/>
              <w:bidi w:val="0"/>
              <w:spacing w:before="0" w:after="283"/>
              <w:jc w:val="left"/>
              <w:rPr/>
            </w:pPr>
            <w:r>
              <w:rPr/>
              <w:t>1</w:t>
            </w:r>
          </w:p>
        </w:tc>
        <w:tc>
          <w:tcPr>
            <w:tcW w:w="819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Heidi S. Shippell-Heiland 2008 Irrevocable Trust</w:t>
            </w:r>
          </w:p>
        </w:tc>
      </w:tr>
      <w:tr>
        <w:trPr/>
        <w:tc>
          <w:tcPr>
            <w:tcW w:w="2007" w:type="dxa"/>
            <w:tcBorders/>
            <w:vAlign w:val="center"/>
          </w:tcPr>
          <w:p>
            <w:pPr>
              <w:pStyle w:val="TableContents"/>
              <w:bidi w:val="0"/>
              <w:spacing w:before="0" w:after="283"/>
              <w:jc w:val="left"/>
              <w:rPr/>
            </w:pPr>
            <w:r>
              <w:rPr/>
              <w:t>2</w:t>
            </w:r>
          </w:p>
        </w:tc>
        <w:tc>
          <w:tcPr>
            <w:tcW w:w="819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07" w:type="dxa"/>
            <w:tcBorders/>
            <w:vAlign w:val="center"/>
          </w:tcPr>
          <w:p>
            <w:pPr>
              <w:pStyle w:val="TableContents"/>
              <w:bidi w:val="0"/>
              <w:spacing w:before="0" w:after="283"/>
              <w:jc w:val="left"/>
              <w:rPr/>
            </w:pPr>
            <w:r>
              <w:rPr/>
              <w:t>3</w:t>
            </w:r>
          </w:p>
        </w:tc>
        <w:tc>
          <w:tcPr>
            <w:tcW w:w="8198" w:type="dxa"/>
            <w:tcBorders/>
            <w:vAlign w:val="center"/>
          </w:tcPr>
          <w:p>
            <w:pPr>
              <w:pStyle w:val="TableContents"/>
              <w:bidi w:val="0"/>
              <w:spacing w:before="0" w:after="283"/>
              <w:jc w:val="left"/>
              <w:rPr/>
            </w:pPr>
            <w:r>
              <w:rPr/>
              <w:t>Sec Use Only</w:t>
            </w:r>
          </w:p>
        </w:tc>
      </w:tr>
      <w:tr>
        <w:trPr/>
        <w:tc>
          <w:tcPr>
            <w:tcW w:w="2007" w:type="dxa"/>
            <w:tcBorders/>
            <w:vAlign w:val="center"/>
          </w:tcPr>
          <w:p>
            <w:pPr>
              <w:pStyle w:val="TableContents"/>
              <w:bidi w:val="0"/>
              <w:spacing w:before="0" w:after="283"/>
              <w:jc w:val="left"/>
              <w:rPr/>
            </w:pPr>
            <w:r>
              <w:rPr/>
              <w:t>4</w:t>
            </w:r>
          </w:p>
        </w:tc>
        <w:tc>
          <w:tcPr>
            <w:tcW w:w="819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8" w:type="dxa"/>
            <w:tcBorders/>
            <w:vAlign w:val="center"/>
          </w:tcPr>
          <w:p>
            <w:pPr>
              <w:pStyle w:val="TableContents"/>
              <w:bidi w:val="0"/>
              <w:spacing w:before="0" w:after="283"/>
              <w:jc w:val="left"/>
              <w:rPr>
                <w:sz w:val="4"/>
                <w:szCs w:val="4"/>
              </w:rPr>
            </w:pPr>
            <w:r>
              <w:rPr>
                <w:sz w:val="4"/>
                <w:szCs w:val="4"/>
              </w:rPr>
            </w:r>
          </w:p>
        </w:tc>
      </w:tr>
      <w:tr>
        <w:trPr/>
        <w:tc>
          <w:tcPr>
            <w:tcW w:w="2007" w:type="dxa"/>
            <w:tcBorders/>
            <w:vAlign w:val="center"/>
          </w:tcPr>
          <w:p>
            <w:pPr>
              <w:pStyle w:val="TableContents"/>
              <w:bidi w:val="0"/>
              <w:spacing w:before="0" w:after="283"/>
              <w:jc w:val="left"/>
              <w:rPr/>
            </w:pPr>
            <w:r>
              <w:rPr/>
              <w:t>9</w:t>
            </w:r>
          </w:p>
        </w:tc>
        <w:tc>
          <w:tcPr>
            <w:tcW w:w="819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07" w:type="dxa"/>
            <w:tcBorders/>
            <w:vAlign w:val="center"/>
          </w:tcPr>
          <w:p>
            <w:pPr>
              <w:pStyle w:val="TableContents"/>
              <w:bidi w:val="0"/>
              <w:spacing w:before="0" w:after="283"/>
              <w:jc w:val="left"/>
              <w:rPr/>
            </w:pPr>
            <w:r>
              <w:rPr/>
              <w:t>10</w:t>
            </w:r>
          </w:p>
        </w:tc>
        <w:tc>
          <w:tcPr>
            <w:tcW w:w="819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07" w:type="dxa"/>
            <w:tcBorders/>
            <w:vAlign w:val="center"/>
          </w:tcPr>
          <w:p>
            <w:pPr>
              <w:pStyle w:val="TableContents"/>
              <w:bidi w:val="0"/>
              <w:spacing w:before="0" w:after="283"/>
              <w:jc w:val="left"/>
              <w:rPr/>
            </w:pPr>
            <w:r>
              <w:rPr/>
              <w:t>11</w:t>
            </w:r>
          </w:p>
        </w:tc>
        <w:tc>
          <w:tcPr>
            <w:tcW w:w="819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07" w:type="dxa"/>
            <w:tcBorders/>
            <w:vAlign w:val="center"/>
          </w:tcPr>
          <w:p>
            <w:pPr>
              <w:pStyle w:val="TableContents"/>
              <w:bidi w:val="0"/>
              <w:spacing w:before="0" w:after="283"/>
              <w:jc w:val="left"/>
              <w:rPr/>
            </w:pPr>
            <w:r>
              <w:rPr/>
              <w:t>12</w:t>
            </w:r>
          </w:p>
        </w:tc>
        <w:tc>
          <w:tcPr>
            <w:tcW w:w="819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 purposes of calculating beneficial ownership in this Schedule 13G/A, the total number of shares of Common Stock outstanding is 18,140,962 as of August 3, 2026, as disclosed by the Issuer in its Quarterly Report on Form 10-Q filed on August 6, 2026 with the Securities and Exchange Commission. The percentage provided represents the number of shares of Common Stock beneficially owned by the applicable Reporting Person divided by the number of shares of Common Stock outstanding as reported by the Issuer. This Amendment No. 2 constitutes the final amendment to this Schedule 13G with respect to the Trust, which has ceased to beneficially own any shares of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Torok Michael</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447,900.00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747,448.00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447,900.00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747,448.00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1,195,348.00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 purposes of calculating beneficial ownership in this Schedule 13G/A, the total number of shares of Common Stock outstanding is 18,140,962 as of August 3, 2026, as disclosed by the Issuer in its Quarterly Report on Form 10-Q filed on August 6, 2026 with the Securities and Exchange Commission. The percentage provided represents the number of shares of Common Stock beneficially owned by the applicable Reporting Person divided by the number of shares of Common Stock outstanding as reported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KVH INDUSTRIES INC \DE\</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WOOD STREET, UNIT 320, 1ST FL, BRISTOL, RHODE ISLAND, 02809.</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JEC II Associates, LLC, a Delaware limited liability company ("JEC II"), with respect to the shares of Common Stock, $0.01 par value per share (the "Common Stock") of KVH Industries, Inc., directly and beneficially owned by it; (ii) The Heidi S. Shippell-Heiland 2008 Irrevocable Trust, a Delaware trust (the "Trust"), which no longer beneficially owns any shares of Common Stock; and (iii) Michael Torok ("Mr. Torok"), with respect to the shares of Common Stock directly owned by him and beneficially owned as the Manager of JEC II and Trustee of the Trust. Each of the foregoing is referred to as a "Reporting Person" and collectively as the "Reporting Persons." Each of the Reporting Persons is party to that certain Joint Filing Agreement attached hereto as Exhibit 99.1. Accordingly, the Reporting Persons are hereby filing a joint Schedule 13G/A. This Amendment No. 2 constitutes the final amendment to this Schedule 13G with respect to the Trust. The Trust has ceased to beneficially own any shares of Common Stock and will not be included in any subsequent amendments.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JEC II, the Trust and Mr. Torok is 68 Mazzeo Drive, Randolph, Massachusetts 02368.</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(i) JEC II is a Delaware limited liability company; (ii) The Trust is a Delaware Trust; and (iii) Mr. Torok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For purposes of calculating beneficial ownership in this Schedule 13G/A, the total number of shares of Common Stock outstanding is 18,140,962 as of August 3, 2026, as disclosed by the Issuer in its Quarterly Report on Form 10-Q filed on August 6, 2026 with the Securities and Exchange Commission. I. JEC II (a) As of the date hereof, JEC II beneficially owns 747,448 shares of Common Stock, which are owned directly. II. The Trust (a) As of the date hereof, the Trust beneficially owns 0 shares of Common Stock. III. Mr. Torok (a) As of the date hereof, Mr. Torok beneficially owns 1,195,348 shares of Common Stock, of which 191,500 shares are owned directly and 256,400 are owned by a trust to benefit Mr. Torok (as the settlor of the trust), Sara Torok, K. Peter Heiland, Matthew Canno, and Mr. Torok's descendants. As the Manager of JEC II, Mr. Torok may be deemed to beneficially own the 747,448 shares owned by JEC II.</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 JEC II (b) Percentage of class: Approximately 4.1% II. The Trust (b) Percentage of class: 0.0% III. Mr. Torok (b) Percentage of class: Approximately 6.6%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I. JEC II (c)(i). Sole power to vote or direct vote: 0 II. The Trust (c)(i) Sole power to vote or direct vote: 0 III. Mr. Torok (c)(i) Sole power to vote or direct vote: 447,900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JEC II (c)(ii) Shared power to vote or direct vote: 747,448 II. The Trust (c)(ii) Shared power to vote or direct vote: 0 III. Mr. Torok (c)(ii) Shared power to vote or direct vote: 747,448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JEC II (c)(iii) Sole power to dispose or direct the disposition: 0 II. The Trust (c)(iii) Sole power to dispose or direct the disposition: 0 III. Mr. Torok (c)(iii) Sole power to dispose or direct the disposition: 447,900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JEC II (c)(iv) Shared power to dispose or direct the disposition: 747,448 II. The Trust (c)(iv) Shared power to dispose or direct the disposition: 0 III. Mr. Torok (c)(iv) Shared power to dispose or direct the disposition: 747,448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The members of the group are JEC II and Mr. Torok. The Trust is no longer a member of the group. See Exhibit 99.1.</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JEC II Associates,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Michael Torok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Michael Torok,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2"/>
        <w:gridCol w:w="5043"/>
      </w:tblGrid>
      <w:tr>
        <w:trPr/>
        <w:tc>
          <w:tcPr>
            <w:tcW w:w="5162" w:type="dxa"/>
            <w:tcBorders/>
            <w:vAlign w:val="center"/>
          </w:tcPr>
          <w:p>
            <w:pPr>
              <w:pStyle w:val="TableContents"/>
              <w:bidi w:val="0"/>
              <w:spacing w:before="0" w:after="0"/>
              <w:jc w:val="left"/>
              <w:rPr/>
            </w:pPr>
            <w:r>
              <w:rPr/>
              <w:t> </w:t>
            </w:r>
          </w:p>
          <w:tbl>
            <w:tblPr>
              <w:tblW w:w="5266" w:type="dxa"/>
              <w:jc w:val="left"/>
              <w:tblInd w:w="0" w:type="dxa"/>
              <w:tblLayout w:type="fixed"/>
              <w:tblCellMar>
                <w:top w:w="28" w:type="dxa"/>
                <w:left w:w="28" w:type="dxa"/>
                <w:bottom w:w="28" w:type="dxa"/>
                <w:right w:w="28" w:type="dxa"/>
              </w:tblCellMar>
            </w:tblPr>
            <w:tblGrid>
              <w:gridCol w:w="5266"/>
            </w:tblGrid>
            <w:tr>
              <w:trPr/>
              <w:tc>
                <w:tcPr>
                  <w:tcW w:w="5266" w:type="dxa"/>
                  <w:tcBorders/>
                  <w:vAlign w:val="center"/>
                </w:tcPr>
                <w:p>
                  <w:pPr>
                    <w:pStyle w:val="TableContents"/>
                    <w:bidi w:val="0"/>
                    <w:spacing w:before="0" w:after="0"/>
                    <w:jc w:val="left"/>
                    <w:rPr/>
                  </w:pPr>
                  <w:r>
                    <w:rPr/>
                    <w:t>The Heidi S. Shippell-Heiland 2008 Irrevocable Trust</w:t>
                  </w:r>
                </w:p>
              </w:tc>
            </w:tr>
          </w:tbl>
          <w:p>
            <w:pPr>
              <w:pStyle w:val="TableContents"/>
              <w:bidi w:val="0"/>
              <w:spacing w:before="0" w:after="283"/>
              <w:jc w:val="left"/>
              <w:rPr/>
            </w:pPr>
            <w:r>
              <w:rPr/>
            </w:r>
          </w:p>
        </w:tc>
        <w:tc>
          <w:tcPr>
            <w:tcW w:w="50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Torok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Torok, Trustee</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Torok Michael</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Torok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Torok, Self</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 Joint Filing Agreement dated as of August 27, 2024, by and among JEC II Associates, LLC, The Heidi S. Shippell-Heiland 2008 Irrevocable Trust and Michael Torok (incorporated by reference herein from Exhibit 99.1 to the Schedule 13G filed with the SEC by the Reporting Persons with respect to the Issuer on August 27,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1963</Words>
  <Characters>9870</Characters>
  <CharactersWithSpaces>11784</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