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40"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36"/>
        </w:rPr>
      </w:pPr>
      <w:r>
        <w:rPr>
          <w:rFonts w:ascii="Times New Roman;serif" w:hAnsi="Times New Roman;serif"/>
          <w:b/>
          <w:color w:val="000000"/>
          <w:sz w:val="36"/>
        </w:rPr>
        <w:t>FORM 10-Q</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QUARTERLY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 xml:space="preserve">For the quarterly period ended: June 30, 2026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4"/>
              </w:rPr>
            </w:pPr>
            <w:r>
              <w:rPr>
                <w:rFonts w:ascii="Times New Roman;serif" w:hAnsi="Times New Roman;serif"/>
                <w:b/>
                <w:color w:val="000000"/>
                <w:sz w:val="24"/>
              </w:rPr>
              <w:t>TRANSITION REPORT PURSUANT TO SECTION 13 OR 15(d) OF THE SECURITIES EXCHANGE ACT OF 1934</w:t>
            </w:r>
          </w:p>
        </w:tc>
      </w:tr>
    </w:tbl>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 the transition period from              to             </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Commission File Number 0-28082</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48"/>
        </w:rPr>
      </w:pPr>
      <w:r>
        <w:rPr>
          <w:rFonts w:ascii="Times New Roman;serif" w:hAnsi="Times New Roman;serif"/>
          <w:b/>
          <w:color w:val="000000"/>
          <w:sz w:val="48"/>
        </w:rPr>
        <w:t>KVH Industries, Inc.</w:t>
      </w:r>
    </w:p>
    <w:p>
      <w:pPr>
        <w:pStyle w:val="TextBody"/>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7349" w:type="dxa"/>
        <w:jc w:val="left"/>
        <w:tblInd w:w="0" w:type="dxa"/>
        <w:tblLayout w:type="fixed"/>
        <w:tblCellMar>
          <w:top w:w="28" w:type="dxa"/>
          <w:left w:w="28" w:type="dxa"/>
          <w:bottom w:w="28" w:type="dxa"/>
          <w:right w:w="28" w:type="dxa"/>
        </w:tblCellMar>
      </w:tblPr>
      <w:tblGrid>
        <w:gridCol w:w="1603"/>
        <w:gridCol w:w="1405"/>
        <w:gridCol w:w="1417"/>
        <w:gridCol w:w="852"/>
        <w:gridCol w:w="852"/>
        <w:gridCol w:w="1220"/>
      </w:tblGrid>
      <w:tr>
        <w:trPr/>
        <w:tc>
          <w:tcPr>
            <w:tcW w:w="1603"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852"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Delaware</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05-0420589</w:t>
            </w:r>
          </w:p>
        </w:tc>
      </w:tr>
      <w:tr>
        <w:trPr/>
        <w:tc>
          <w:tcPr>
            <w:tcW w:w="44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(State or Other Jurisdiction of Incorporation or Organization)</w:t>
            </w:r>
          </w:p>
        </w:tc>
        <w:tc>
          <w:tcPr>
            <w:tcW w:w="29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i/>
                <w:color w:val="000000"/>
                <w:sz w:val="16"/>
              </w:rPr>
            </w:pPr>
            <w:r>
              <w:rPr>
                <w:rFonts w:ascii="Times New Roman;serif" w:hAnsi="Times New Roman;serif"/>
                <w:b w:val="false"/>
                <w:i/>
                <w:color w:val="000000"/>
                <w:sz w:val="16"/>
              </w:rPr>
              <w:t>(I.R.S. Employer Identification Number)</w:t>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tcPr>
          <w:p>
            <w:pPr>
              <w:pStyle w:val="TableContents"/>
              <w:bidi w:val="0"/>
              <w:spacing w:before="0" w:after="283"/>
              <w:jc w:val="left"/>
              <w:rPr>
                <w:sz w:val="4"/>
                <w:szCs w:val="4"/>
              </w:rPr>
            </w:pPr>
            <w:r>
              <w:rPr>
                <w:sz w:val="4"/>
                <w:szCs w:val="4"/>
              </w:rPr>
            </w:r>
          </w:p>
        </w:tc>
      </w:tr>
      <w:tr>
        <w:trPr/>
        <w:tc>
          <w:tcPr>
            <w:tcW w:w="4425" w:type="dxa"/>
            <w:gridSpan w:val="3"/>
            <w:tcBorders/>
            <w:vAlign w:val="center"/>
          </w:tcPr>
          <w:p>
            <w:pPr>
              <w:pStyle w:val="TableContents"/>
              <w:bidi w:val="0"/>
              <w:spacing w:before="0" w:after="283"/>
              <w:jc w:val="left"/>
              <w:rPr>
                <w:sz w:val="4"/>
                <w:szCs w:val="4"/>
              </w:rPr>
            </w:pPr>
            <w:r>
              <w:rPr>
                <w:sz w:val="4"/>
                <w:szCs w:val="4"/>
              </w:rPr>
            </w:r>
          </w:p>
        </w:tc>
        <w:tc>
          <w:tcPr>
            <w:tcW w:w="2924" w:type="dxa"/>
            <w:gridSpan w:val="3"/>
            <w:tcBorders/>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500 Wood Street, Unit 320, 1st Floor, Bristol, RI 02809</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(Address of Principal Executive Offices) (Zip Code)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(401) 847-3327</w:t>
      </w:r>
    </w:p>
    <w:p>
      <w:pPr>
        <w:pStyle w:val="TextBody"/>
        <w:bidi w:val="0"/>
        <w:spacing w:lineRule="auto" w:line="288" w:before="0" w:after="0"/>
        <w:jc w:val="center"/>
        <w:rPr>
          <w:rFonts w:ascii="Times New Roman;serif" w:hAnsi="Times New Roman;serif"/>
          <w:b w:val="false"/>
          <w:i/>
          <w:color w:val="000000"/>
          <w:sz w:val="16"/>
        </w:rPr>
      </w:pPr>
      <w:r>
        <w:rPr>
          <w:rFonts w:ascii="Times New Roman;serif" w:hAnsi="Times New Roman;serif"/>
          <w:b w:val="false"/>
          <w:i/>
          <w:color w:val="000000"/>
          <w:sz w:val="16"/>
        </w:rPr>
        <w:t>(Registrant’s Telephone Number, Including Area Code)</w:t>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40" w:before="0" w:after="0"/>
        <w:jc w:val="center"/>
        <w:rPr>
          <w:rFonts w:ascii="Times New Roman;serif" w:hAnsi="Times New Roman;serif"/>
          <w:b w:val="false"/>
          <w:i/>
          <w:color w:val="000000"/>
          <w:sz w:val="20"/>
        </w:rPr>
      </w:pPr>
      <w:r>
        <w:rPr>
          <w:rFonts w:ascii="Times New Roman;serif" w:hAnsi="Times New Roman;serif"/>
          <w:b w:val="false"/>
          <w:i/>
          <w:color w:val="000000"/>
          <w:sz w:val="20"/>
        </w:rPr>
        <w:t>Securities registered pursuant to Section 12(b) of the Act:</w:t>
      </w:r>
    </w:p>
    <w:tbl>
      <w:tblPr>
        <w:tblW w:w="7933" w:type="dxa"/>
        <w:jc w:val="center"/>
        <w:tblInd w:w="0" w:type="dxa"/>
        <w:tblLayout w:type="fixed"/>
        <w:tblCellMar>
          <w:top w:w="28" w:type="dxa"/>
          <w:left w:w="28" w:type="dxa"/>
          <w:bottom w:w="28" w:type="dxa"/>
          <w:right w:w="28" w:type="dxa"/>
        </w:tblCellMar>
      </w:tblPr>
      <w:tblGrid>
        <w:gridCol w:w="1104"/>
        <w:gridCol w:w="975"/>
        <w:gridCol w:w="981"/>
        <w:gridCol w:w="484"/>
        <w:gridCol w:w="484"/>
        <w:gridCol w:w="486"/>
        <w:gridCol w:w="1000"/>
        <w:gridCol w:w="1000"/>
        <w:gridCol w:w="1419"/>
      </w:tblGrid>
      <w:tr>
        <w:trPr/>
        <w:tc>
          <w:tcPr>
            <w:tcW w:w="1104" w:type="dxa"/>
            <w:tcBorders/>
            <w:vAlign w:val="center"/>
          </w:tcPr>
          <w:p>
            <w:pPr>
              <w:pStyle w:val="TableContents"/>
              <w:bidi w:val="0"/>
              <w:spacing w:before="0" w:after="283"/>
              <w:jc w:val="left"/>
              <w:rPr>
                <w:sz w:val="4"/>
                <w:szCs w:val="4"/>
              </w:rPr>
            </w:pPr>
            <w:r>
              <w:rPr>
                <w:sz w:val="4"/>
                <w:szCs w:val="4"/>
              </w:rPr>
            </w:r>
          </w:p>
        </w:tc>
        <w:tc>
          <w:tcPr>
            <w:tcW w:w="975" w:type="dxa"/>
            <w:tcBorders/>
            <w:vAlign w:val="center"/>
          </w:tcPr>
          <w:p>
            <w:pPr>
              <w:pStyle w:val="TableContents"/>
              <w:bidi w:val="0"/>
              <w:spacing w:before="0" w:after="283"/>
              <w:jc w:val="left"/>
              <w:rPr>
                <w:sz w:val="4"/>
                <w:szCs w:val="4"/>
              </w:rPr>
            </w:pPr>
            <w:r>
              <w:rPr>
                <w:sz w:val="4"/>
                <w:szCs w:val="4"/>
              </w:rPr>
            </w:r>
          </w:p>
        </w:tc>
        <w:tc>
          <w:tcPr>
            <w:tcW w:w="981"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Trading Symbol(s)</w:t>
            </w:r>
          </w:p>
        </w:tc>
        <w:tc>
          <w:tcPr>
            <w:tcW w:w="34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Name of Each Exchange on which Registered</w:t>
            </w:r>
          </w:p>
        </w:tc>
      </w:tr>
      <w:tr>
        <w:trPr/>
        <w:tc>
          <w:tcPr>
            <w:tcW w:w="30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9" w:type="dxa"/>
            <w:gridSpan w:val="3"/>
            <w:tcBorders/>
            <w:tcMar>
              <w:top w:w="0" w:type="dxa"/>
              <w:left w:w="0" w:type="dxa"/>
              <w:bottom w:w="0" w:type="dxa"/>
              <w:right w:w="0" w:type="dxa"/>
            </w:tcMar>
            <w:vAlign w:val="center"/>
          </w:tcPr>
          <w:p>
            <w:pPr>
              <w:pStyle w:val="TableContents"/>
              <w:bidi w:val="0"/>
              <w:spacing w:lineRule="auto" w:line="240" w:before="0" w:after="44"/>
              <w:jc w:val="center"/>
              <w:rPr>
                <w:rFonts w:ascii="Times New Roman;serif" w:hAnsi="Times New Roman;serif"/>
                <w:b w:val="false"/>
                <w:color w:val="000000"/>
                <w:sz w:val="16"/>
              </w:rPr>
            </w:pPr>
            <w:r>
              <w:rPr>
                <w:rFonts w:ascii="Times New Roman;serif" w:hAnsi="Times New Roman;serif"/>
                <w:b w:val="false"/>
                <w:color w:val="000000"/>
                <w:sz w:val="16"/>
              </w:rPr>
              <w:t>The Nasdaq Stock Market LLC</w:t>
            </w:r>
          </w:p>
        </w:tc>
      </w:tr>
      <w:tr>
        <w:trPr/>
        <w:tc>
          <w:tcPr>
            <w:tcW w:w="30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Common Stock, par value $0.01 per share</w:t>
            </w:r>
          </w:p>
        </w:tc>
        <w:tc>
          <w:tcPr>
            <w:tcW w:w="14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KVHI</w:t>
            </w:r>
          </w:p>
        </w:tc>
        <w:tc>
          <w:tcPr>
            <w:tcW w:w="341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6"/>
              </w:rPr>
            </w:pPr>
            <w:r>
              <w:rPr>
                <w:rFonts w:ascii="Times New Roman;serif" w:hAnsi="Times New Roman;serif"/>
                <w:b w:val="false"/>
                <w:color w:val="000000"/>
                <w:sz w:val="16"/>
              </w:rPr>
              <w:t>(Nasdaq Global Select Market)</w:t>
            </w:r>
          </w:p>
        </w:tc>
      </w:tr>
    </w:tbl>
    <w:p>
      <w:pPr>
        <w:pStyle w:val="TextBody"/>
        <w:bidi w:val="0"/>
        <w:spacing w:before="0" w:after="0"/>
        <w:jc w:val="both"/>
        <w:rPr/>
      </w:pPr>
      <w:r>
        <w:rPr/>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20"/>
        </w:rPr>
        <w:t>No </w:t>
      </w:r>
      <w:r>
        <w:rPr>
          <w:color w:val="000000"/>
        </w:rPr>
        <w:t>☐</w:t>
      </w:r>
    </w:p>
    <w:p>
      <w:pPr>
        <w:pStyle w:val="TextBody"/>
        <w:bidi w:val="0"/>
        <w:spacing w:before="0" w:after="0"/>
        <w:jc w:val="both"/>
        <w:rPr/>
      </w:pPr>
      <w:r>
        <w:rPr/>
      </w:r>
    </w:p>
    <w:p>
      <w:pPr>
        <w:pStyle w:val="TextBody"/>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931" w:type="dxa"/>
        <w:jc w:val="left"/>
        <w:tblInd w:w="0" w:type="dxa"/>
        <w:tblLayout w:type="fixed"/>
        <w:tblCellMar>
          <w:top w:w="28" w:type="dxa"/>
          <w:left w:w="28" w:type="dxa"/>
          <w:bottom w:w="28" w:type="dxa"/>
          <w:right w:w="28" w:type="dxa"/>
        </w:tblCellMar>
      </w:tblPr>
      <w:tblGrid>
        <w:gridCol w:w="696"/>
        <w:gridCol w:w="612"/>
        <w:gridCol w:w="613"/>
        <w:gridCol w:w="109"/>
        <w:gridCol w:w="109"/>
        <w:gridCol w:w="109"/>
        <w:gridCol w:w="769"/>
        <w:gridCol w:w="769"/>
        <w:gridCol w:w="773"/>
        <w:gridCol w:w="109"/>
        <w:gridCol w:w="109"/>
        <w:gridCol w:w="154"/>
      </w:tblGrid>
      <w:tr>
        <w:trPr/>
        <w:tc>
          <w:tcPr>
            <w:tcW w:w="696"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40" w:before="0" w:after="0"/>
        <w:jc w:val="both"/>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40" w:before="0" w:after="0"/>
        <w:jc w:val="both"/>
        <w:rPr/>
      </w:pPr>
      <w:r>
        <w:rPr>
          <w:rFonts w:ascii="Times New Roman;serif" w:hAnsi="Times New Roman;serif"/>
          <w:b w:val="false"/>
          <w:color w:val="000000"/>
          <w:sz w:val="20"/>
        </w:rPr>
        <w:t>Indicate by check mark whether the registrant is a shell company (as defined in Rule 12b-2 of the Exchange Act).    Yes  </w:t>
      </w:r>
      <w:r>
        <w:rPr>
          <w:color w:val="000000"/>
        </w:rPr>
        <w:t>☐    </w:t>
      </w:r>
      <w:r>
        <w:rPr>
          <w:rFonts w:ascii="Times New Roman;serif" w:hAnsi="Times New Roman;serif"/>
          <w:b w:val="false"/>
          <w:color w:val="000000"/>
          <w:sz w:val="20"/>
        </w:rPr>
        <w:t xml:space="preserve">No </w:t>
      </w:r>
      <w:r>
        <w:rPr>
          <w:color w:val="000000"/>
        </w:rPr>
        <w:t>☒</w:t>
      </w:r>
    </w:p>
    <w:p>
      <w:pPr>
        <w:pStyle w:val="TextBody"/>
        <w:bidi w:val="0"/>
        <w:spacing w:before="0" w:after="0"/>
        <w:jc w:val="center"/>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bl>
      <w:tblPr>
        <w:tblW w:w="6392" w:type="dxa"/>
        <w:jc w:val="left"/>
        <w:tblInd w:w="0" w:type="dxa"/>
        <w:tblLayout w:type="fixed"/>
        <w:tblCellMar>
          <w:top w:w="28" w:type="dxa"/>
          <w:left w:w="28" w:type="dxa"/>
          <w:bottom w:w="28" w:type="dxa"/>
          <w:right w:w="28" w:type="dxa"/>
        </w:tblCellMar>
      </w:tblPr>
      <w:tblGrid>
        <w:gridCol w:w="491"/>
        <w:gridCol w:w="433"/>
        <w:gridCol w:w="441"/>
        <w:gridCol w:w="1157"/>
        <w:gridCol w:w="1157"/>
        <w:gridCol w:w="1167"/>
        <w:gridCol w:w="452"/>
        <w:gridCol w:w="452"/>
        <w:gridCol w:w="642"/>
      </w:tblGrid>
      <w:tr>
        <w:trPr/>
        <w:tc>
          <w:tcPr>
            <w:tcW w:w="491"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642"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Date</w:t>
            </w:r>
          </w:p>
        </w:tc>
        <w:tc>
          <w:tcPr>
            <w:tcW w:w="3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Class</w:t>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Outstanding shares</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348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 per share</w:t>
            </w:r>
          </w:p>
        </w:tc>
        <w:tc>
          <w:tcPr>
            <w:tcW w:w="15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18,140,962</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50520"/>
                <wp:effectExtent l="0" t="0" r="0" b="0"/>
                <wp:wrapNone/>
                <wp:docPr id="1" name="Frame1"/>
                <a:graphic xmlns:a="http://schemas.openxmlformats.org/drawingml/2006/main">
                  <a:graphicData uri="http://schemas.microsoft.com/office/word/2010/wordprocessingShape">
                    <wps:wsp>
                      <wps:cNvSpPr txBox="1"/>
                      <wps:spPr>
                        <a:xfrm>
                          <a:off x="0" y="0"/>
                          <a:ext cx="6480175" cy="350520"/>
                        </a:xfrm>
                        <a:prstGeom prst="rect"/>
                        <a:solidFill>
                          <a:srgbClr val="FFFFFF"/>
                        </a:solidFill>
                      </wps:spPr>
                      <wps:txbx>
                        <w:txbxContent>
                          <w:p>
                            <w:pPr>
                              <w:pStyle w:val="TextBody"/>
                              <w:bidi w:val="0"/>
                              <w:spacing w:before="0" w:after="0"/>
                              <w:jc w:val="left"/>
                              <w:rPr/>
                            </w:pPr>
                            <w:r>
                              <w:rPr/>
                            </w:r>
                          </w:p>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KVH INDUSTRIES, INC. AND SUBSIDIARIES</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Form 10-Q</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INDEX</w:t>
      </w:r>
    </w:p>
    <w:tbl>
      <w:tblPr>
        <w:tblW w:w="10205" w:type="dxa"/>
        <w:jc w:val="center"/>
        <w:tblInd w:w="0" w:type="dxa"/>
        <w:tblLayout w:type="fixed"/>
        <w:tblCellMar>
          <w:top w:w="28" w:type="dxa"/>
          <w:left w:w="28" w:type="dxa"/>
          <w:bottom w:w="28" w:type="dxa"/>
          <w:right w:w="28" w:type="dxa"/>
        </w:tblCellMar>
      </w:tblPr>
      <w:tblGrid>
        <w:gridCol w:w="537"/>
        <w:gridCol w:w="471"/>
        <w:gridCol w:w="471"/>
        <w:gridCol w:w="2652"/>
        <w:gridCol w:w="2600"/>
        <w:gridCol w:w="2570"/>
        <w:gridCol w:w="264"/>
        <w:gridCol w:w="264"/>
        <w:gridCol w:w="376"/>
      </w:tblGrid>
      <w:tr>
        <w:trPr/>
        <w:tc>
          <w:tcPr>
            <w:tcW w:w="537"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652" w:type="dxa"/>
            <w:tcBorders/>
            <w:vAlign w:val="center"/>
          </w:tcPr>
          <w:p>
            <w:pPr>
              <w:pStyle w:val="TableContents"/>
              <w:bidi w:val="0"/>
              <w:spacing w:before="0" w:after="283"/>
              <w:jc w:val="left"/>
              <w:rPr>
                <w:sz w:val="4"/>
                <w:szCs w:val="4"/>
              </w:rPr>
            </w:pPr>
            <w:r>
              <w:rPr>
                <w:sz w:val="4"/>
                <w:szCs w:val="4"/>
              </w:rPr>
            </w:r>
          </w:p>
        </w:tc>
        <w:tc>
          <w:tcPr>
            <w:tcW w:w="2600" w:type="dxa"/>
            <w:tcBorders/>
            <w:vAlign w:val="center"/>
          </w:tcPr>
          <w:p>
            <w:pPr>
              <w:pStyle w:val="TableContents"/>
              <w:bidi w:val="0"/>
              <w:spacing w:before="0" w:after="283"/>
              <w:jc w:val="left"/>
              <w:rPr>
                <w:sz w:val="4"/>
                <w:szCs w:val="4"/>
              </w:rPr>
            </w:pPr>
            <w:r>
              <w:rPr>
                <w:sz w:val="4"/>
                <w:szCs w:val="4"/>
              </w:rPr>
            </w:r>
          </w:p>
        </w:tc>
        <w:tc>
          <w:tcPr>
            <w:tcW w:w="257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u w:val="single"/>
              </w:rPr>
            </w:pPr>
            <w:r>
              <w:rPr>
                <w:rFonts w:ascii="Times New Roman;serif" w:hAnsi="Times New Roman;serif"/>
                <w:b/>
                <w:color w:val="000000"/>
                <w:sz w:val="20"/>
                <w:u w:val="single"/>
              </w:rPr>
              <w:t>Page No.</w:t>
            </w:r>
          </w:p>
        </w:tc>
      </w:tr>
      <w:tr>
        <w:trPr/>
        <w:tc>
          <w:tcPr>
            <w:tcW w:w="93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57f32a153394c8e8e2a2bc0598a15a0_10">
              <w:r>
                <w:rPr>
                  <w:rStyle w:val="InternetLink"/>
                  <w:rFonts w:ascii="Times New Roman;serif" w:hAnsi="Times New Roman;serif"/>
                  <w:b/>
                  <w:color w:val="0000FF"/>
                  <w:sz w:val="20"/>
                  <w:u w:val="single"/>
                </w:rPr>
                <w:t>PART I. FINANCIAL INFORMATION</w:t>
              </w:r>
            </w:hyperlink>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w:t>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7f32a153394c8e8e2a2bc0598a15a0_13">
              <w:r>
                <w:rPr>
                  <w:rStyle w:val="InternetLink"/>
                  <w:rFonts w:ascii="Times New Roman;serif" w:hAnsi="Times New Roman;serif"/>
                  <w:b w:val="false"/>
                  <w:color w:val="0000FF"/>
                  <w:sz w:val="20"/>
                  <w:u w:val="single"/>
                </w:rPr>
                <w:t>INTERIM FINANCIAL STATEMENTS</w:t>
              </w:r>
            </w:hyperlink>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Balance Sheets as of June 30, 2026 (unaudited) and December 31, 2025</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16">
              <w:r>
                <w:rPr>
                  <w:rStyle w:val="InternetLink"/>
                  <w:rFonts w:ascii="Times New Roman;serif" w:hAnsi="Times New Roman;serif"/>
                  <w:b w:val="false"/>
                  <w:color w:val="0000FF"/>
                  <w:sz w:val="20"/>
                  <w:u w:val="single"/>
                </w:rPr>
                <w:t>3</w:t>
              </w:r>
            </w:hyperlink>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Statements of Operations for the three and six months ended June 30, 2026 and 2025 (unaudited)</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19">
              <w:r>
                <w:rPr>
                  <w:rStyle w:val="InternetLink"/>
                  <w:rFonts w:ascii="Times New Roman;serif" w:hAnsi="Times New Roman;serif"/>
                  <w:b w:val="false"/>
                  <w:color w:val="0000FF"/>
                  <w:sz w:val="20"/>
                  <w:u w:val="single"/>
                </w:rPr>
                <w:t>4</w:t>
              </w:r>
            </w:hyperlink>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Statements of Comprehensive Income for the three and six months ended June 30, 2026 and 2025 (unaudited)</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22">
              <w:r>
                <w:rPr>
                  <w:rStyle w:val="InternetLink"/>
                  <w:rFonts w:ascii="Times New Roman;serif" w:hAnsi="Times New Roman;serif"/>
                  <w:b w:val="false"/>
                  <w:color w:val="0000FF"/>
                  <w:sz w:val="20"/>
                  <w:u w:val="single"/>
                </w:rPr>
                <w:t>5</w:t>
              </w:r>
            </w:hyperlink>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Statements of Stockholders’ Equity for the three and six months ended June 30, 2026 and 2025 (unaudited)</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25">
              <w:r>
                <w:rPr>
                  <w:rStyle w:val="InternetLink"/>
                  <w:rFonts w:ascii="Times New Roman;serif" w:hAnsi="Times New Roman;serif"/>
                  <w:b w:val="false"/>
                  <w:color w:val="0000FF"/>
                  <w:sz w:val="20"/>
                  <w:u w:val="single"/>
                </w:rPr>
                <w:t>6</w:t>
              </w:r>
            </w:hyperlink>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Consolidated Statements of Cash Flows for the six months ended June 30, 2026 and 2025 (unaudited)</w:t>
            </w:r>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28">
              <w:r>
                <w:rPr>
                  <w:rStyle w:val="InternetLink"/>
                  <w:rFonts w:ascii="Times New Roman;serif" w:hAnsi="Times New Roman;serif"/>
                  <w:b w:val="false"/>
                  <w:color w:val="0000FF"/>
                  <w:sz w:val="20"/>
                  <w:u w:val="single"/>
                </w:rPr>
                <w:t>7</w:t>
              </w:r>
            </w:hyperlink>
          </w:p>
        </w:tc>
      </w:tr>
      <w:tr>
        <w:trPr/>
        <w:tc>
          <w:tcPr>
            <w:tcW w:w="1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7f32a153394c8e8e2a2bc0598a15a0_31">
              <w:r>
                <w:rPr>
                  <w:rStyle w:val="InternetLink"/>
                  <w:rFonts w:ascii="Times New Roman;serif" w:hAnsi="Times New Roman;serif"/>
                  <w:b w:val="false"/>
                  <w:color w:val="0000FF"/>
                  <w:sz w:val="20"/>
                  <w:u w:val="single"/>
                </w:rPr>
                <w:t>Notes to Consolidated Financial Statements (unaudited)</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31">
              <w:r>
                <w:rPr>
                  <w:rStyle w:val="InternetLink"/>
                  <w:rFonts w:ascii="Times New Roman;serif" w:hAnsi="Times New Roman;serif"/>
                  <w:b w:val="false"/>
                  <w:color w:val="0000FF"/>
                  <w:sz w:val="20"/>
                  <w:u w:val="single"/>
                </w:rPr>
                <w:t>8</w:t>
              </w:r>
            </w:hyperlink>
          </w:p>
        </w:tc>
      </w:tr>
      <w:tr>
        <w:trPr/>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ind w:left="0" w:right="0" w:hanging="180"/>
              <w:jc w:val="left"/>
              <w:rPr/>
            </w:pPr>
            <w:hyperlink w:anchor="i857f32a153394c8e8e2a2bc0598a15a0_124">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124">
              <w:r>
                <w:rPr>
                  <w:rStyle w:val="InternetLink"/>
                  <w:rFonts w:ascii="Times New Roman;serif" w:hAnsi="Times New Roman;serif"/>
                  <w:b w:val="false"/>
                  <w:color w:val="0000FF"/>
                  <w:sz w:val="20"/>
                  <w:u w:val="single"/>
                </w:rPr>
                <w:t>24</w:t>
              </w:r>
            </w:hyperlink>
          </w:p>
        </w:tc>
      </w:tr>
      <w:tr>
        <w:trPr/>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4.</w:t>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7f32a153394c8e8e2a2bc0598a15a0_151">
              <w:r>
                <w:rPr>
                  <w:rStyle w:val="InternetLink"/>
                  <w:rFonts w:ascii="Times New Roman;serif" w:hAnsi="Times New Roman;serif"/>
                  <w:b w:val="false"/>
                  <w:color w:val="0000FF"/>
                  <w:sz w:val="20"/>
                  <w:u w:val="single"/>
                </w:rPr>
                <w:t>CONTROLS AND PROCEDURES</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151">
              <w:r>
                <w:rPr>
                  <w:rStyle w:val="InternetLink"/>
                  <w:rFonts w:ascii="Times New Roman;serif" w:hAnsi="Times New Roman;serif"/>
                  <w:b w:val="false"/>
                  <w:color w:val="0000FF"/>
                  <w:sz w:val="20"/>
                  <w:u w:val="single"/>
                </w:rPr>
                <w:t>32</w:t>
              </w:r>
            </w:hyperlink>
          </w:p>
        </w:tc>
      </w:tr>
      <w:tr>
        <w:trPr/>
        <w:tc>
          <w:tcPr>
            <w:tcW w:w="93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57f32a153394c8e8e2a2bc0598a15a0_154">
              <w:r>
                <w:rPr>
                  <w:rStyle w:val="InternetLink"/>
                  <w:rFonts w:ascii="Times New Roman;serif" w:hAnsi="Times New Roman;serif"/>
                  <w:b/>
                  <w:color w:val="0000FF"/>
                  <w:sz w:val="20"/>
                  <w:u w:val="single"/>
                </w:rPr>
                <w:t>PART II. OTHER INFORMATION</w:t>
              </w:r>
            </w:hyperlink>
          </w:p>
        </w:tc>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9"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1A.</w:t>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7f32a153394c8e8e2a2bc0598a15a0_160">
              <w:r>
                <w:rPr>
                  <w:rStyle w:val="InternetLink"/>
                  <w:rFonts w:ascii="Times New Roman;serif" w:hAnsi="Times New Roman;serif"/>
                  <w:b w:val="false"/>
                  <w:color w:val="0000FF"/>
                  <w:sz w:val="20"/>
                  <w:u w:val="single"/>
                </w:rPr>
                <w:t>RISK FACTORS</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160">
              <w:r>
                <w:rPr>
                  <w:rStyle w:val="InternetLink"/>
                  <w:rFonts w:ascii="Times New Roman;serif" w:hAnsi="Times New Roman;serif"/>
                  <w:b w:val="false"/>
                  <w:color w:val="0000FF"/>
                  <w:sz w:val="20"/>
                  <w:u w:val="single"/>
                </w:rPr>
                <w:t>33</w:t>
              </w:r>
            </w:hyperlink>
          </w:p>
        </w:tc>
      </w:tr>
      <w:tr>
        <w:trPr/>
        <w:tc>
          <w:tcPr>
            <w:tcW w:w="1479" w:type="dxa"/>
            <w:gridSpan w:val="3"/>
            <w:tcBorders/>
            <w:vAlign w:val="center"/>
          </w:tcPr>
          <w:p>
            <w:pPr>
              <w:pStyle w:val="TableContents"/>
              <w:bidi w:val="0"/>
              <w:spacing w:before="0" w:after="283"/>
              <w:jc w:val="left"/>
              <w:rPr>
                <w:sz w:val="4"/>
                <w:szCs w:val="4"/>
              </w:rPr>
            </w:pPr>
            <w:r>
              <w:rPr>
                <w:sz w:val="4"/>
                <w:szCs w:val="4"/>
              </w:rPr>
            </w:r>
          </w:p>
        </w:tc>
        <w:tc>
          <w:tcPr>
            <w:tcW w:w="7822" w:type="dxa"/>
            <w:gridSpan w:val="3"/>
            <w:tcBorders/>
            <w:vAlign w:val="center"/>
          </w:tcPr>
          <w:p>
            <w:pPr>
              <w:pStyle w:val="TableContents"/>
              <w:bidi w:val="0"/>
              <w:spacing w:before="0" w:after="283"/>
              <w:jc w:val="left"/>
              <w:rPr>
                <w:sz w:val="4"/>
                <w:szCs w:val="4"/>
              </w:rPr>
            </w:pPr>
            <w:r>
              <w:rPr>
                <w:sz w:val="4"/>
                <w:szCs w:val="4"/>
              </w:rPr>
            </w:r>
          </w:p>
        </w:tc>
        <w:tc>
          <w:tcPr>
            <w:tcW w:w="904" w:type="dxa"/>
            <w:gridSpan w:val="3"/>
            <w:tcBorders/>
            <w:vAlign w:val="center"/>
          </w:tcPr>
          <w:p>
            <w:pPr>
              <w:pStyle w:val="TableContents"/>
              <w:bidi w:val="0"/>
              <w:spacing w:before="0" w:after="283"/>
              <w:jc w:val="left"/>
              <w:rPr>
                <w:sz w:val="4"/>
                <w:szCs w:val="4"/>
              </w:rPr>
            </w:pPr>
            <w:r>
              <w:rPr>
                <w:sz w:val="4"/>
                <w:szCs w:val="4"/>
              </w:rPr>
            </w:r>
          </w:p>
        </w:tc>
      </w:tr>
      <w:tr>
        <w:trPr/>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2.</w:t>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7f32a153394c8e8e2a2bc0598a15a0_166">
              <w:r>
                <w:rPr>
                  <w:rStyle w:val="InternetLink"/>
                  <w:rFonts w:ascii="Times New Roman;serif" w:hAnsi="Times New Roman;serif"/>
                  <w:b w:val="false"/>
                  <w:color w:val="0000FF"/>
                  <w:sz w:val="20"/>
                  <w:u w:val="single"/>
                </w:rPr>
                <w:t>UNREGISTERED SALES OF EQUITY SECURITIES AND USE OF PROCEEDS</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166">
              <w:r>
                <w:rPr>
                  <w:rStyle w:val="InternetLink"/>
                  <w:rFonts w:ascii="Times New Roman;serif" w:hAnsi="Times New Roman;serif"/>
                  <w:b w:val="false"/>
                  <w:color w:val="0000FF"/>
                  <w:sz w:val="20"/>
                  <w:u w:val="single"/>
                </w:rPr>
                <w:t>33</w:t>
              </w:r>
            </w:hyperlink>
          </w:p>
        </w:tc>
      </w:tr>
      <w:tr>
        <w:trPr/>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5.</w:t>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7f32a153394c8e8e2a2bc0598a15a0_169">
              <w:r>
                <w:rPr>
                  <w:rStyle w:val="InternetLink"/>
                  <w:rFonts w:ascii="Times New Roman;serif" w:hAnsi="Times New Roman;serif"/>
                  <w:b w:val="false"/>
                  <w:color w:val="0000FF"/>
                  <w:sz w:val="20"/>
                  <w:u w:val="single"/>
                </w:rPr>
                <w:t>OTHER INFORMATION</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169">
              <w:r>
                <w:rPr>
                  <w:rStyle w:val="InternetLink"/>
                  <w:rFonts w:ascii="Times New Roman;serif" w:hAnsi="Times New Roman;serif"/>
                  <w:b w:val="false"/>
                  <w:color w:val="0000FF"/>
                  <w:sz w:val="20"/>
                  <w:u w:val="single"/>
                </w:rPr>
                <w:t>33</w:t>
              </w:r>
            </w:hyperlink>
          </w:p>
        </w:tc>
      </w:tr>
      <w:tr>
        <w:trPr/>
        <w:tc>
          <w:tcPr>
            <w:tcW w:w="14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ITEM 6.</w:t>
            </w:r>
          </w:p>
        </w:tc>
        <w:tc>
          <w:tcPr>
            <w:tcW w:w="782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57f32a153394c8e8e2a2bc0598a15a0_172">
              <w:r>
                <w:rPr>
                  <w:rStyle w:val="InternetLink"/>
                  <w:rFonts w:ascii="Times New Roman;serif" w:hAnsi="Times New Roman;serif"/>
                  <w:b w:val="false"/>
                  <w:color w:val="0000FF"/>
                  <w:sz w:val="20"/>
                  <w:u w:val="single"/>
                </w:rPr>
                <w:t>EXHIBITS</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172">
              <w:r>
                <w:rPr>
                  <w:rStyle w:val="InternetLink"/>
                  <w:rFonts w:ascii="Times New Roman;serif" w:hAnsi="Times New Roman;serif"/>
                  <w:b w:val="false"/>
                  <w:color w:val="0000FF"/>
                  <w:sz w:val="20"/>
                  <w:u w:val="single"/>
                </w:rPr>
                <w:t>34</w:t>
              </w:r>
            </w:hyperlink>
          </w:p>
        </w:tc>
      </w:tr>
      <w:tr>
        <w:trPr/>
        <w:tc>
          <w:tcPr>
            <w:tcW w:w="9301"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57f32a153394c8e8e2a2bc0598a15a0_175">
              <w:r>
                <w:rPr>
                  <w:rStyle w:val="InternetLink"/>
                  <w:rFonts w:ascii="Times New Roman;serif" w:hAnsi="Times New Roman;serif"/>
                  <w:b w:val="false"/>
                  <w:color w:val="0000FF"/>
                  <w:sz w:val="20"/>
                  <w:u w:val="single"/>
                </w:rPr>
                <w:t>SIGNATURE</w:t>
              </w:r>
            </w:hyperlink>
          </w:p>
        </w:tc>
        <w:tc>
          <w:tcPr>
            <w:tcW w:w="904"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857f32a153394c8e8e2a2bc0598a15a0_175">
              <w:r>
                <w:rPr>
                  <w:rStyle w:val="InternetLink"/>
                  <w:rFonts w:ascii="Times New Roman;serif" w:hAnsi="Times New Roman;serif"/>
                  <w:b w:val="false"/>
                  <w:color w:val="0000FF"/>
                  <w:sz w:val="20"/>
                  <w:u w:val="single"/>
                </w:rPr>
                <w:t>35</w:t>
              </w:r>
            </w:hyperlink>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51155"/>
                <wp:effectExtent l="0" t="0" r="0" b="0"/>
                <wp:wrapNone/>
                <wp:docPr id="2" name="Frame2"/>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16"/>
        </w:rPr>
      </w:pPr>
      <w:r>
        <w:rPr>
          <w:rFonts w:ascii="Times New Roman;serif" w:hAnsi="Times New Roman;serif"/>
          <w:b/>
          <w:color w:val="000000"/>
          <w:sz w:val="16"/>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KVH INDUSTRIES, INC. AND SUBSIDIARIES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CONSOLIDATED BALANCE SHEETS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tbl>
      <w:tblPr>
        <w:tblW w:w="10205" w:type="dxa"/>
        <w:jc w:val="center"/>
        <w:tblInd w:w="0" w:type="dxa"/>
        <w:tblLayout w:type="fixed"/>
        <w:tblCellMar>
          <w:top w:w="28" w:type="dxa"/>
          <w:left w:w="28" w:type="dxa"/>
          <w:bottom w:w="28" w:type="dxa"/>
          <w:right w:w="28" w:type="dxa"/>
        </w:tblCellMar>
      </w:tblPr>
      <w:tblGrid>
        <w:gridCol w:w="3067"/>
        <w:gridCol w:w="2241"/>
        <w:gridCol w:w="2234"/>
        <w:gridCol w:w="200"/>
        <w:gridCol w:w="767"/>
        <w:gridCol w:w="111"/>
        <w:gridCol w:w="109"/>
        <w:gridCol w:w="109"/>
        <w:gridCol w:w="109"/>
        <w:gridCol w:w="223"/>
        <w:gridCol w:w="855"/>
        <w:gridCol w:w="180"/>
      </w:tblGrid>
      <w:tr>
        <w:trPr/>
        <w:tc>
          <w:tcPr>
            <w:tcW w:w="3067" w:type="dxa"/>
            <w:tcBorders/>
            <w:vAlign w:val="center"/>
          </w:tcPr>
          <w:p>
            <w:pPr>
              <w:pStyle w:val="TableContents"/>
              <w:bidi w:val="0"/>
              <w:spacing w:before="0" w:after="283"/>
              <w:jc w:val="left"/>
              <w:rPr>
                <w:sz w:val="4"/>
                <w:szCs w:val="4"/>
              </w:rPr>
            </w:pPr>
            <w:r>
              <w:rPr>
                <w:sz w:val="4"/>
                <w:szCs w:val="4"/>
              </w:rPr>
            </w:r>
          </w:p>
        </w:tc>
        <w:tc>
          <w:tcPr>
            <w:tcW w:w="2241" w:type="dxa"/>
            <w:tcBorders/>
            <w:vAlign w:val="center"/>
          </w:tcPr>
          <w:p>
            <w:pPr>
              <w:pStyle w:val="TableContents"/>
              <w:bidi w:val="0"/>
              <w:spacing w:before="0" w:after="283"/>
              <w:jc w:val="left"/>
              <w:rPr>
                <w:sz w:val="4"/>
                <w:szCs w:val="4"/>
              </w:rPr>
            </w:pPr>
            <w:r>
              <w:rPr>
                <w:sz w:val="4"/>
                <w:szCs w:val="4"/>
              </w:rPr>
            </w:r>
          </w:p>
        </w:tc>
        <w:tc>
          <w:tcPr>
            <w:tcW w:w="223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75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ASSETS</w:t>
            </w:r>
          </w:p>
        </w:tc>
        <w:tc>
          <w:tcPr>
            <w:tcW w:w="1078"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assets: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Cash and cash equivalents</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57,720 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69,910 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Accounts receivable, net of allowance for credit losses of $970 and $712 as of June 30, 2026 and December 31, 2025, respectively</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28,665 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25,049 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Inventories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14,859 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 xml:space="preserve">Prepaid expenses and other current assets </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19,770 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7,980 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54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assets</w:t>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118,011 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117,798 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Property and equipment, net</w:t>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21,043 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22,032 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Intangible assets, net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3,954 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3,717 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Goodwill</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732 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Right of use assets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4,382 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non-current assets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2,193 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2,237 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asset</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602 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assets</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150,997</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151,500</w:t>
            </w: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LIABILITIES AND STOCKHOLDERS’ EQUITY</w:t>
            </w:r>
          </w:p>
        </w:tc>
        <w:tc>
          <w:tcPr>
            <w:tcW w:w="10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liabilities:</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Accounts payable</w:t>
            </w:r>
          </w:p>
        </w:tc>
        <w:tc>
          <w:tcPr>
            <w:tcW w:w="2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7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6,954 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w:t>
            </w:r>
          </w:p>
        </w:tc>
        <w:tc>
          <w:tcPr>
            <w:tcW w:w="85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4,498 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airtime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858 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1,500 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compensation and employee-related expenses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3,137 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5,175 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other</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2,358 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Accrued product warranty costs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656 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644 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revenue</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1,273 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1,155 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Current operating lease liability</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790 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547 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Liability for uncertain tax positions</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840 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793 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Total current liabilities</w:t>
            </w:r>
          </w:p>
        </w:tc>
        <w:tc>
          <w:tcPr>
            <w:tcW w:w="96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16,687 </w:t>
            </w:r>
          </w:p>
        </w:tc>
        <w:tc>
          <w:tcPr>
            <w:tcW w:w="11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16,670 </w:t>
            </w:r>
          </w:p>
        </w:tc>
        <w:tc>
          <w:tcPr>
            <w:tcW w:w="18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Long-term operating lease liability</w:t>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3,865 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3,841 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54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Deferred income tax liability</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vAlign w:val="center"/>
          </w:tcPr>
          <w:p>
            <w:pPr>
              <w:pStyle w:val="TableContents"/>
              <w:bidi w:val="0"/>
              <w:spacing w:before="0" w:after="283"/>
              <w:jc w:val="left"/>
              <w:rPr>
                <w:sz w:val="4"/>
                <w:szCs w:val="4"/>
              </w:rPr>
            </w:pPr>
            <w:r>
              <w:rPr>
                <w:sz w:val="4"/>
                <w:szCs w:val="4"/>
              </w:rPr>
            </w:r>
          </w:p>
        </w:tc>
        <w:tc>
          <w:tcPr>
            <w:tcW w:w="10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w:t>
            </w:r>
          </w:p>
        </w:tc>
        <w:tc>
          <w:tcPr>
            <w:tcW w:w="20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20,557</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20,516</w:t>
            </w: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Commitments and contingencies (Notes 2, 10, and 15)</w:t>
            </w:r>
          </w:p>
        </w:tc>
        <w:tc>
          <w:tcPr>
            <w:tcW w:w="10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Stockholders’ equity:</w:t>
            </w:r>
          </w:p>
        </w:tc>
        <w:tc>
          <w:tcPr>
            <w:tcW w:w="10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Preferred stock, $0.01 par value. Authorized 1,000,000 shares; none issued</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16"/>
              </w:rPr>
            </w:pPr>
            <w:r>
              <w:rPr>
                <w:rFonts w:ascii="Times New Roman;serif" w:hAnsi="Times New Roman;serif"/>
                <w:b w:val="false"/>
                <w:color w:val="000000"/>
                <w:sz w:val="16"/>
              </w:rPr>
              <w:t>Common stock, $0.01 par value. Authorized 30,000,000 shares; 21,364,212 and 21,294,655 shares issued at June 30, 2026 and December 31, 2025, respectively; and 19,293,315 and 19,511,836 shares outstanding at June 30, 2026 and December 31, 2025, respectively</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213 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Additional paid-in capital</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170,264 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168,900 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deficit</w:t>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(19,384)</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(20,135)</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Accumulated other comprehensive loss</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(4,291)</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(4,161)</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146,803 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144,817 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Less: treasury stock at cost, common stock, 2,070,897 and 1,782,819 shares as of June 30, 2026 and December 31, 2025, respectively.</w:t>
            </w:r>
          </w:p>
        </w:tc>
        <w:tc>
          <w:tcPr>
            <w:tcW w:w="9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(16,363)</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(13,833)</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stockholders’ equity</w:t>
            </w:r>
          </w:p>
        </w:tc>
        <w:tc>
          <w:tcPr>
            <w:tcW w:w="96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130,440</w:t>
            </w:r>
            <w:r>
              <w:rPr>
                <w:color w:val="000000"/>
              </w:rPr>
              <w:t> </w:t>
            </w:r>
          </w:p>
        </w:tc>
        <w:tc>
          <w:tcPr>
            <w:tcW w:w="11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130,984</w:t>
            </w:r>
            <w:r>
              <w:rPr>
                <w:color w:val="000000"/>
              </w:rPr>
              <w:t> </w:t>
            </w:r>
          </w:p>
        </w:tc>
        <w:tc>
          <w:tcPr>
            <w:tcW w:w="18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Total liabilities and stockholders’ equity</w:t>
            </w:r>
          </w:p>
        </w:tc>
        <w:tc>
          <w:tcPr>
            <w:tcW w:w="20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150,997</w:t>
            </w:r>
            <w:r>
              <w:rPr>
                <w:color w:val="000000"/>
              </w:rPr>
              <w:t> </w:t>
            </w:r>
          </w:p>
        </w:tc>
        <w:tc>
          <w:tcPr>
            <w:tcW w:w="1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8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151,500</w:t>
            </w:r>
            <w:r>
              <w:rPr>
                <w:color w:val="000000"/>
              </w:rPr>
              <w:t> </w:t>
            </w:r>
          </w:p>
        </w:tc>
        <w:tc>
          <w:tcPr>
            <w:tcW w:w="1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659130"/>
                <wp:effectExtent l="0" t="0" r="0" b="0"/>
                <wp:wrapNone/>
                <wp:docPr id="3" name="Frame3"/>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KVH INDUSTRIES, INC. AND SUBSIDIARIES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OPERATIONS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except earnings per share amounts, unaudited)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07"/>
        <w:gridCol w:w="1585"/>
        <w:gridCol w:w="162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1807" w:type="dxa"/>
            <w:tcBorders/>
            <w:vAlign w:val="center"/>
          </w:tcPr>
          <w:p>
            <w:pPr>
              <w:pStyle w:val="TableContents"/>
              <w:bidi w:val="0"/>
              <w:spacing w:before="0" w:after="283"/>
              <w:jc w:val="left"/>
              <w:rPr>
                <w:sz w:val="4"/>
                <w:szCs w:val="4"/>
              </w:rPr>
            </w:pPr>
            <w:r>
              <w:rPr>
                <w:sz w:val="4"/>
                <w:szCs w:val="4"/>
              </w:rPr>
            </w:r>
          </w:p>
        </w:tc>
        <w:tc>
          <w:tcPr>
            <w:tcW w:w="1585" w:type="dxa"/>
            <w:tcBorders/>
            <w:vAlign w:val="center"/>
          </w:tcPr>
          <w:p>
            <w:pPr>
              <w:pStyle w:val="TableContents"/>
              <w:bidi w:val="0"/>
              <w:spacing w:before="0" w:after="283"/>
              <w:jc w:val="left"/>
              <w:rPr>
                <w:sz w:val="4"/>
                <w:szCs w:val="4"/>
              </w:rPr>
            </w:pPr>
            <w:r>
              <w:rPr>
                <w:sz w:val="4"/>
                <w:szCs w:val="4"/>
              </w:rPr>
            </w:r>
          </w:p>
        </w:tc>
        <w:tc>
          <w:tcPr>
            <w:tcW w:w="16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5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 sales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product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support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33,799 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26,993 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66,235 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54,650 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(2,613)</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163</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930</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751</w:t>
            </w: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(780)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0.05</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0.01</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0.05</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0.04</w:t>
            </w: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721"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(0.04)</w:t>
            </w:r>
          </w:p>
        </w:tc>
        <w:tc>
          <w:tcPr>
            <w:tcW w:w="155"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Weighted average number of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19,394</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19,401</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19,363</w:t>
            </w: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19,446</w:t>
            </w: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19,666</w:t>
            </w: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19,441</w:t>
            </w: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19,554</w:t>
            </w:r>
            <w:r>
              <w:rPr>
                <w:color w:val="000000"/>
              </w:rPr>
              <w:t> </w:t>
            </w:r>
          </w:p>
        </w:tc>
        <w:tc>
          <w:tcPr>
            <w:tcW w:w="109"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19,446</w:t>
            </w:r>
            <w:r>
              <w:rPr>
                <w:color w:val="000000"/>
              </w:rPr>
              <w:t> </w:t>
            </w:r>
          </w:p>
        </w:tc>
        <w:tc>
          <w:tcPr>
            <w:tcW w:w="155" w:type="dxa"/>
            <w:tcBorders>
              <w:top w:val="doub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659130"/>
                <wp:effectExtent l="0" t="0" r="0" b="0"/>
                <wp:wrapNone/>
                <wp:docPr id="4" name="Frame4"/>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KVH INDUSTRIES, INC. AND SUBSIDIARIES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COMPREHENSIVE INCOME</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unaudited)</w:t>
      </w:r>
    </w:p>
    <w:p>
      <w:pPr>
        <w:pStyle w:val="TextBody"/>
        <w:bidi w:val="0"/>
        <w:spacing w:lineRule="auto" w:line="288" w:before="0" w:after="0"/>
        <w:jc w:val="left"/>
        <w:rPr>
          <w:color w:val="000000"/>
        </w:rPr>
      </w:pPr>
      <w:r>
        <w:rPr>
          <w:color w:val="000000"/>
        </w:rPr>
        <w:t> </w:t>
      </w:r>
    </w:p>
    <w:tbl>
      <w:tblPr>
        <w:tblW w:w="8399" w:type="dxa"/>
        <w:jc w:val="left"/>
        <w:tblInd w:w="0" w:type="dxa"/>
        <w:tblLayout w:type="fixed"/>
        <w:tblCellMar>
          <w:top w:w="28" w:type="dxa"/>
          <w:left w:w="28" w:type="dxa"/>
          <w:bottom w:w="28" w:type="dxa"/>
          <w:right w:w="28" w:type="dxa"/>
        </w:tblCellMar>
      </w:tblPr>
      <w:tblGrid>
        <w:gridCol w:w="1447"/>
        <w:gridCol w:w="1273"/>
        <w:gridCol w:w="1284"/>
        <w:gridCol w:w="211"/>
        <w:gridCol w:w="466"/>
        <w:gridCol w:w="109"/>
        <w:gridCol w:w="109"/>
        <w:gridCol w:w="109"/>
        <w:gridCol w:w="109"/>
        <w:gridCol w:w="211"/>
        <w:gridCol w:w="616"/>
        <w:gridCol w:w="109"/>
        <w:gridCol w:w="109"/>
        <w:gridCol w:w="109"/>
        <w:gridCol w:w="109"/>
        <w:gridCol w:w="211"/>
        <w:gridCol w:w="466"/>
        <w:gridCol w:w="109"/>
        <w:gridCol w:w="109"/>
        <w:gridCol w:w="109"/>
        <w:gridCol w:w="109"/>
        <w:gridCol w:w="211"/>
        <w:gridCol w:w="541"/>
        <w:gridCol w:w="154"/>
      </w:tblGrid>
      <w:tr>
        <w:trPr/>
        <w:tc>
          <w:tcPr>
            <w:tcW w:w="1447" w:type="dxa"/>
            <w:tcBorders/>
            <w:vAlign w:val="center"/>
          </w:tcPr>
          <w:p>
            <w:pPr>
              <w:pStyle w:val="TableContents"/>
              <w:bidi w:val="0"/>
              <w:spacing w:before="0" w:after="283"/>
              <w:jc w:val="left"/>
              <w:rPr>
                <w:sz w:val="4"/>
                <w:szCs w:val="4"/>
              </w:rPr>
            </w:pPr>
            <w:r>
              <w:rPr>
                <w:sz w:val="4"/>
                <w:szCs w:val="4"/>
              </w:rPr>
            </w:r>
          </w:p>
        </w:tc>
        <w:tc>
          <w:tcPr>
            <w:tcW w:w="1273" w:type="dxa"/>
            <w:tcBorders/>
            <w:vAlign w:val="center"/>
          </w:tcPr>
          <w:p>
            <w:pPr>
              <w:pStyle w:val="TableContents"/>
              <w:bidi w:val="0"/>
              <w:spacing w:before="0" w:after="283"/>
              <w:jc w:val="left"/>
              <w:rPr>
                <w:sz w:val="4"/>
                <w:szCs w:val="4"/>
              </w:rPr>
            </w:pPr>
            <w:r>
              <w:rPr>
                <w:sz w:val="4"/>
                <w:szCs w:val="4"/>
              </w:rPr>
            </w:r>
          </w:p>
        </w:tc>
        <w:tc>
          <w:tcPr>
            <w:tcW w:w="12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4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comprehensive income (loss), net of tax:</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 currency translation adjustment</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Other comprehensive income (loss), net of tax</w:t>
            </w:r>
            <w:r>
              <w:rPr>
                <w:rFonts w:ascii="Times New Roman;serif" w:hAnsi="Times New Roman;serif"/>
                <w:b w:val="false"/>
                <w:color w:val="000000"/>
                <w:sz w:val="13"/>
              </w:rPr>
              <w:t>(1)</w:t>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Total comprehensive income</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1,208 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4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(1) Tax impact was nominal for all periods.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659130"/>
                <wp:effectExtent l="0" t="0" r="0" b="0"/>
                <wp:wrapNone/>
                <wp:docPr id="5" name="Frame5"/>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KVH INDUSTRIES, INC. AND SUBSIDIARIES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STOCKHOLDERS' EQUITY</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(in thousands, unaudited)</w:t>
      </w:r>
    </w:p>
    <w:tbl>
      <w:tblPr>
        <w:tblW w:w="10885" w:type="dxa"/>
        <w:jc w:val="center"/>
        <w:tblInd w:w="0" w:type="dxa"/>
        <w:tblLayout w:type="fixed"/>
        <w:tblCellMar>
          <w:top w:w="28" w:type="dxa"/>
          <w:left w:w="28" w:type="dxa"/>
          <w:bottom w:w="28" w:type="dxa"/>
          <w:right w:w="28" w:type="dxa"/>
        </w:tblCellMar>
      </w:tblPr>
      <w:tblGrid>
        <w:gridCol w:w="730"/>
        <w:gridCol w:w="220"/>
        <w:gridCol w:w="221"/>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196"/>
        <w:gridCol w:w="661"/>
        <w:gridCol w:w="109"/>
        <w:gridCol w:w="109"/>
        <w:gridCol w:w="109"/>
        <w:gridCol w:w="109"/>
        <w:gridCol w:w="228"/>
        <w:gridCol w:w="665"/>
        <w:gridCol w:w="128"/>
        <w:gridCol w:w="109"/>
        <w:gridCol w:w="109"/>
        <w:gridCol w:w="109"/>
        <w:gridCol w:w="285"/>
        <w:gridCol w:w="286"/>
        <w:gridCol w:w="171"/>
        <w:gridCol w:w="109"/>
        <w:gridCol w:w="109"/>
        <w:gridCol w:w="109"/>
        <w:gridCol w:w="196"/>
        <w:gridCol w:w="661"/>
        <w:gridCol w:w="109"/>
        <w:gridCol w:w="109"/>
        <w:gridCol w:w="109"/>
        <w:gridCol w:w="109"/>
        <w:gridCol w:w="196"/>
        <w:gridCol w:w="751"/>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2026</w:t>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21,294</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169,295</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(19,547)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(4,395)</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(1,817)</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(14,039)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131,527</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163 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(2,324)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issuance of restricted stock awards, net of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64 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6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21,364</w:t>
            </w:r>
            <w:r>
              <w:rPr>
                <w:color w:val="000000"/>
              </w:rPr>
              <w:t>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170,264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(19,384)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(4,291)</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(16,363)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130,440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885" w:type="dxa"/>
        <w:jc w:val="center"/>
        <w:tblInd w:w="0" w:type="dxa"/>
        <w:tblLayout w:type="fixed"/>
        <w:tblCellMar>
          <w:top w:w="28" w:type="dxa"/>
          <w:left w:w="28" w:type="dxa"/>
          <w:bottom w:w="28" w:type="dxa"/>
          <w:right w:w="28" w:type="dxa"/>
        </w:tblCellMar>
      </w:tblPr>
      <w:tblGrid>
        <w:gridCol w:w="634"/>
        <w:gridCol w:w="268"/>
        <w:gridCol w:w="269"/>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196"/>
        <w:gridCol w:w="661"/>
        <w:gridCol w:w="109"/>
        <w:gridCol w:w="109"/>
        <w:gridCol w:w="109"/>
        <w:gridCol w:w="109"/>
        <w:gridCol w:w="228"/>
        <w:gridCol w:w="665"/>
        <w:gridCol w:w="128"/>
        <w:gridCol w:w="109"/>
        <w:gridCol w:w="109"/>
        <w:gridCol w:w="109"/>
        <w:gridCol w:w="285"/>
        <w:gridCol w:w="286"/>
        <w:gridCol w:w="171"/>
        <w:gridCol w:w="109"/>
        <w:gridCol w:w="109"/>
        <w:gridCol w:w="109"/>
        <w:gridCol w:w="196"/>
        <w:gridCol w:w="661"/>
        <w:gridCol w:w="109"/>
        <w:gridCol w:w="109"/>
        <w:gridCol w:w="109"/>
        <w:gridCol w:w="109"/>
        <w:gridCol w:w="196"/>
        <w:gridCol w:w="75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2025</w:t>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21,295</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168,900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(20,135)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(4,161)</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(1,783)</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(13,833)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130,984</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751 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loss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(130)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Issuance of common stock under employee stock purchase plan</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(288)</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(2,530)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issuance of restricted stock awards, net of forfeitures</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63 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617 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2026</w:t>
            </w:r>
          </w:p>
        </w:tc>
        <w:tc>
          <w:tcPr>
            <w:tcW w:w="66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21,364</w:t>
            </w:r>
            <w:r>
              <w:rPr>
                <w:color w:val="000000"/>
              </w:rPr>
              <w:t> </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170,264</w:t>
            </w:r>
            <w:r>
              <w:rPr>
                <w:color w:val="000000"/>
              </w:rPr>
              <w:t>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(19,384)</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(4,291)</w:t>
            </w:r>
          </w:p>
        </w:tc>
        <w:tc>
          <w:tcPr>
            <w:tcW w:w="12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(2,071)</w:t>
            </w:r>
          </w:p>
        </w:tc>
        <w:tc>
          <w:tcPr>
            <w:tcW w:w="17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(16,363)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130,440</w:t>
            </w:r>
            <w:r>
              <w:rPr>
                <w:color w:val="000000"/>
              </w:rPr>
              <w:t>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885" w:type="dxa"/>
        <w:jc w:val="center"/>
        <w:tblInd w:w="0" w:type="dxa"/>
        <w:tblLayout w:type="fixed"/>
        <w:tblCellMar>
          <w:top w:w="28" w:type="dxa"/>
          <w:left w:w="28" w:type="dxa"/>
          <w:bottom w:w="28" w:type="dxa"/>
          <w:right w:w="28" w:type="dxa"/>
        </w:tblCellMar>
      </w:tblPr>
      <w:tblGrid>
        <w:gridCol w:w="730"/>
        <w:gridCol w:w="220"/>
        <w:gridCol w:w="221"/>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196"/>
        <w:gridCol w:w="661"/>
        <w:gridCol w:w="109"/>
        <w:gridCol w:w="109"/>
        <w:gridCol w:w="109"/>
        <w:gridCol w:w="109"/>
        <w:gridCol w:w="228"/>
        <w:gridCol w:w="665"/>
        <w:gridCol w:w="128"/>
        <w:gridCol w:w="109"/>
        <w:gridCol w:w="109"/>
        <w:gridCol w:w="109"/>
        <w:gridCol w:w="285"/>
        <w:gridCol w:w="286"/>
        <w:gridCol w:w="171"/>
        <w:gridCol w:w="109"/>
        <w:gridCol w:w="109"/>
        <w:gridCol w:w="109"/>
        <w:gridCol w:w="196"/>
        <w:gridCol w:w="661"/>
        <w:gridCol w:w="109"/>
        <w:gridCol w:w="109"/>
        <w:gridCol w:w="109"/>
        <w:gridCol w:w="109"/>
        <w:gridCol w:w="196"/>
        <w:gridCol w:w="751"/>
        <w:gridCol w:w="154"/>
      </w:tblGrid>
      <w:tr>
        <w:trPr/>
        <w:tc>
          <w:tcPr>
            <w:tcW w:w="730"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March 31, 2025</w:t>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21,220</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167,624</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(14,462)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(3,310)</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(1,487)</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(12,253)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137,811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income</w:t>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930 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(211)</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(1,093)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issuance of restricted stock awards, net of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4 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21,224</w:t>
            </w:r>
            <w:r>
              <w:rPr>
                <w:color w:val="000000"/>
              </w:rPr>
              <w:t>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168,082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(13,532)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(3,032)</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(1,698)</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(13,346)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138,384</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885" w:type="dxa"/>
        <w:jc w:val="center"/>
        <w:tblInd w:w="0" w:type="dxa"/>
        <w:tblLayout w:type="fixed"/>
        <w:tblCellMar>
          <w:top w:w="28" w:type="dxa"/>
          <w:left w:w="28" w:type="dxa"/>
          <w:bottom w:w="28" w:type="dxa"/>
          <w:right w:w="28" w:type="dxa"/>
        </w:tblCellMar>
      </w:tblPr>
      <w:tblGrid>
        <w:gridCol w:w="634"/>
        <w:gridCol w:w="268"/>
        <w:gridCol w:w="269"/>
        <w:gridCol w:w="330"/>
        <w:gridCol w:w="331"/>
        <w:gridCol w:w="171"/>
        <w:gridCol w:w="109"/>
        <w:gridCol w:w="109"/>
        <w:gridCol w:w="109"/>
        <w:gridCol w:w="196"/>
        <w:gridCol w:w="436"/>
        <w:gridCol w:w="109"/>
        <w:gridCol w:w="109"/>
        <w:gridCol w:w="109"/>
        <w:gridCol w:w="109"/>
        <w:gridCol w:w="196"/>
        <w:gridCol w:w="751"/>
        <w:gridCol w:w="109"/>
        <w:gridCol w:w="109"/>
        <w:gridCol w:w="109"/>
        <w:gridCol w:w="109"/>
        <w:gridCol w:w="196"/>
        <w:gridCol w:w="661"/>
        <w:gridCol w:w="109"/>
        <w:gridCol w:w="109"/>
        <w:gridCol w:w="109"/>
        <w:gridCol w:w="109"/>
        <w:gridCol w:w="228"/>
        <w:gridCol w:w="665"/>
        <w:gridCol w:w="128"/>
        <w:gridCol w:w="109"/>
        <w:gridCol w:w="109"/>
        <w:gridCol w:w="109"/>
        <w:gridCol w:w="285"/>
        <w:gridCol w:w="286"/>
        <w:gridCol w:w="171"/>
        <w:gridCol w:w="109"/>
        <w:gridCol w:w="109"/>
        <w:gridCol w:w="109"/>
        <w:gridCol w:w="196"/>
        <w:gridCol w:w="661"/>
        <w:gridCol w:w="109"/>
        <w:gridCol w:w="109"/>
        <w:gridCol w:w="109"/>
        <w:gridCol w:w="109"/>
        <w:gridCol w:w="196"/>
        <w:gridCol w:w="751"/>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Additional</w:t>
              <w:br/>
              <w:t>Paid-in</w:t>
              <w:br/>
              <w:t>Capital</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Retained Deficit</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Accumulated</w:t>
              <w:br/>
              <w:t>Other</w:t>
              <w:br/>
              <w:t>Comprehensive Loss</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Treasury Stock</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Total</w:t>
              <w:br/>
              <w:t>Stockholders’</w:t>
              <w:br/>
              <w:t>Equity</w:t>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96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021"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74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Amount</w:t>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1"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December 31, 2024</w:t>
            </w:r>
          </w:p>
        </w:tc>
        <w:tc>
          <w:tcPr>
            <w:tcW w:w="66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21,241</w:t>
            </w:r>
            <w:r>
              <w:rPr>
                <w:color w:val="000000"/>
              </w:rPr>
              <w:t> </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167,287</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(12,752)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(4,032)</w:t>
            </w:r>
          </w:p>
        </w:tc>
        <w:tc>
          <w:tcPr>
            <w:tcW w:w="12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(1,456)</w:t>
            </w:r>
          </w:p>
        </w:tc>
        <w:tc>
          <w:tcPr>
            <w:tcW w:w="17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(12,090)</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138,625</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Net loss</w:t>
            </w:r>
          </w:p>
        </w:tc>
        <w:tc>
          <w:tcPr>
            <w:tcW w:w="66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(780)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Other comprehensive income</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Stock-based compensation</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771 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Acquisition of treasury stock</w:t>
            </w:r>
          </w:p>
        </w:tc>
        <w:tc>
          <w:tcPr>
            <w:tcW w:w="6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Exercise of stock options and issuance of restricted stock awards, net of forfeitures</w:t>
            </w:r>
          </w:p>
        </w:tc>
        <w:tc>
          <w:tcPr>
            <w:tcW w:w="6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(17)</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6"/>
              </w:rPr>
            </w:pPr>
            <w:r>
              <w:rPr>
                <w:rFonts w:ascii="Times New Roman;serif" w:hAnsi="Times New Roman;serif"/>
                <w:b w:val="false"/>
                <w:color w:val="000000"/>
                <w:sz w:val="16"/>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8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1"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Balance at June 30, 2025</w:t>
            </w:r>
          </w:p>
        </w:tc>
        <w:tc>
          <w:tcPr>
            <w:tcW w:w="66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21,224</w:t>
            </w:r>
            <w:r>
              <w:rPr>
                <w:color w:val="000000"/>
              </w:rPr>
              <w:t> </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4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212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168,082</w:t>
            </w: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(13,532)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(3,032)</w:t>
            </w:r>
          </w:p>
        </w:tc>
        <w:tc>
          <w:tcPr>
            <w:tcW w:w="12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(1,698)</w:t>
            </w:r>
          </w:p>
        </w:tc>
        <w:tc>
          <w:tcPr>
            <w:tcW w:w="17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16"/>
              </w:rPr>
            </w:pPr>
            <w:r>
              <w:rPr>
                <w:rFonts w:ascii="Times New Roman;serif" w:hAnsi="Times New Roman;serif"/>
                <w:b/>
                <w:color w:val="000000"/>
                <w:sz w:val="16"/>
              </w:rPr>
              <w:t>(13,346)</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w:t>
            </w:r>
          </w:p>
        </w:tc>
        <w:tc>
          <w:tcPr>
            <w:tcW w:w="75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6"/>
              </w:rPr>
              <w:t>138,384</w:t>
            </w:r>
            <w:r>
              <w:rPr>
                <w:color w:val="000000"/>
              </w:rPr>
              <w:t>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659130"/>
                <wp:effectExtent l="0" t="0" r="0" b="0"/>
                <wp:wrapNone/>
                <wp:docPr id="6" name="Frame6"/>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KVH INDUSTRIES, INC. AND SUBSIDIARIES</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CONSOLIDATED STATEMENTS OF CASH FLOWS</w:t>
      </w:r>
    </w:p>
    <w:p>
      <w:pPr>
        <w:pStyle w:val="TextBody"/>
        <w:bidi w:val="0"/>
        <w:spacing w:lineRule="auto" w:line="288" w:before="0" w:after="0"/>
        <w:jc w:val="center"/>
        <w:rPr/>
      </w:pPr>
      <w:r>
        <w:rPr>
          <w:rFonts w:ascii="Times New Roman;serif" w:hAnsi="Times New Roman;serif"/>
          <w:b/>
          <w:color w:val="000000"/>
          <w:sz w:val="16"/>
        </w:rPr>
        <w:t>(in thousands, unaudited)</w:t>
      </w:r>
      <w:r>
        <w:rPr>
          <w:color w:val="000000"/>
        </w:rPr>
        <w:t> </w:t>
      </w:r>
    </w:p>
    <w:tbl>
      <w:tblPr>
        <w:tblW w:w="9248" w:type="dxa"/>
        <w:jc w:val="center"/>
        <w:tblInd w:w="0" w:type="dxa"/>
        <w:tblLayout w:type="fixed"/>
        <w:tblCellMar>
          <w:top w:w="28" w:type="dxa"/>
          <w:left w:w="28" w:type="dxa"/>
          <w:bottom w:w="28" w:type="dxa"/>
          <w:right w:w="28" w:type="dxa"/>
        </w:tblCellMar>
      </w:tblPr>
      <w:tblGrid>
        <w:gridCol w:w="2516"/>
        <w:gridCol w:w="2206"/>
        <w:gridCol w:w="2222"/>
        <w:gridCol w:w="196"/>
        <w:gridCol w:w="661"/>
        <w:gridCol w:w="109"/>
        <w:gridCol w:w="109"/>
        <w:gridCol w:w="109"/>
        <w:gridCol w:w="109"/>
        <w:gridCol w:w="196"/>
        <w:gridCol w:w="661"/>
        <w:gridCol w:w="154"/>
      </w:tblGrid>
      <w:tr>
        <w:trPr/>
        <w:tc>
          <w:tcPr>
            <w:tcW w:w="2516" w:type="dxa"/>
            <w:tcBorders/>
            <w:vAlign w:val="center"/>
          </w:tcPr>
          <w:p>
            <w:pPr>
              <w:pStyle w:val="TableContents"/>
              <w:bidi w:val="0"/>
              <w:spacing w:before="0" w:after="283"/>
              <w:jc w:val="left"/>
              <w:rPr>
                <w:sz w:val="4"/>
                <w:szCs w:val="4"/>
              </w:rPr>
            </w:pPr>
            <w:r>
              <w:rPr>
                <w:sz w:val="4"/>
                <w:szCs w:val="4"/>
              </w:rPr>
            </w:r>
          </w:p>
        </w:tc>
        <w:tc>
          <w:tcPr>
            <w:tcW w:w="2206" w:type="dxa"/>
            <w:tcBorders/>
            <w:vAlign w:val="center"/>
          </w:tcPr>
          <w:p>
            <w:pPr>
              <w:pStyle w:val="TableContents"/>
              <w:bidi w:val="0"/>
              <w:spacing w:before="0" w:after="283"/>
              <w:jc w:val="left"/>
              <w:rPr>
                <w:sz w:val="4"/>
                <w:szCs w:val="4"/>
              </w:rPr>
            </w:pPr>
            <w:r>
              <w:rPr>
                <w:sz w:val="4"/>
                <w:szCs w:val="4"/>
              </w:rPr>
            </w:r>
          </w:p>
        </w:tc>
        <w:tc>
          <w:tcPr>
            <w:tcW w:w="222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r>
      <w:tr>
        <w:trPr/>
        <w:tc>
          <w:tcPr>
            <w:tcW w:w="6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operating activities:</w:t>
            </w:r>
          </w:p>
        </w:tc>
        <w:tc>
          <w:tcPr>
            <w:tcW w:w="96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 (loss)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(780)</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(loss) to net cash (used in) provided by operating activities: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Provision for credit losses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5,494 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income taxes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(Gain) on disposals of fixed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on sale of fixed assets located at 50 Enterprise Center Middletown, Rhode Island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(1,330)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Compensation expense related to stock-based awards and employee stock purchase plan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Unrealized currency translation (gain) loss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operating assets and liabilities:</w:t>
            </w:r>
          </w:p>
        </w:tc>
        <w:tc>
          <w:tcPr>
            <w:tcW w:w="9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(3,982)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(3,826)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Inventories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2,695 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Prepaid expenses and other current assets</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non-current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Deferred revenue</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compensation, product warranty and other</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operating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(6,382)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3,819</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investing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Capital expenditures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acquisition of intangible asset</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sale of fixed assets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the sale of fixed assets located at 50 Enterprise Center Middletown, Rhode Island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4,926 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provided by investing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(3,889)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2,611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flows from financing activities:</w:t>
            </w:r>
          </w:p>
        </w:tc>
        <w:tc>
          <w:tcPr>
            <w:tcW w:w="9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Proceeds from stock options exercised and employee stock purchase plan</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 of treasury stock</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(2,530)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cash used in financing activities</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(1,886)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(1,228)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 of exchange rate changes on cash and cash equivalents</w:t>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Net (decrease) increase in cash and cash equivalents</w:t>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(12,190)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5,359</w:t>
            </w: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beginning of period</w:t>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69,910</w:t>
            </w: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50,572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Cash and cash equivalents at end of period</w:t>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57,720</w:t>
            </w: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w:t>
            </w:r>
          </w:p>
        </w:tc>
        <w:tc>
          <w:tcPr>
            <w:tcW w:w="66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18"/>
              </w:rPr>
              <w:t>55,931</w:t>
            </w:r>
            <w:r>
              <w:rPr>
                <w:color w:val="000000"/>
              </w:rPr>
              <w:t>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 of non-cash investing and financing activities:</w:t>
            </w:r>
          </w:p>
        </w:tc>
        <w:tc>
          <w:tcPr>
            <w:tcW w:w="96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Amounts in accrued other and accounts payable related to property and equipment additions</w:t>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65 </w:t>
            </w:r>
          </w:p>
        </w:tc>
        <w:tc>
          <w:tcPr>
            <w:tcW w:w="109"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661" w:type="dxa"/>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18 </w:t>
            </w:r>
          </w:p>
        </w:tc>
        <w:tc>
          <w:tcPr>
            <w:tcW w:w="15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6944"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659130"/>
                <wp:effectExtent l="0" t="0" r="0" b="0"/>
                <wp:wrapNone/>
                <wp:docPr id="7" name="Frame7"/>
                <a:graphic xmlns:a="http://schemas.openxmlformats.org/drawingml/2006/main">
                  <a:graphicData uri="http://schemas.microsoft.com/office/word/2010/wordprocessingShape">
                    <wps:wsp>
                      <wps:cNvSpPr txBox="1"/>
                      <wps:spPr>
                        <a:xfrm>
                          <a:off x="0" y="0"/>
                          <a:ext cx="6480175" cy="659130"/>
                        </a:xfrm>
                        <a:prstGeom prst="rect"/>
                        <a:solidFill>
                          <a:srgbClr val="FFFFFF"/>
                        </a:solidFill>
                      </wps:spPr>
                      <wps:txb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1.9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See accompanying Notes to Unaudited Consolidated Financial Statements.</w:t>
                      </w:r>
                    </w:p>
                    <w:p>
                      <w:pPr>
                        <w:pStyle w:val="TextBody"/>
                        <w:bidi w:val="0"/>
                        <w:spacing w:lineRule="auto" w:line="288" w:before="120" w:after="283"/>
                        <w:jc w:val="center"/>
                        <w:rPr>
                          <w:rFonts w:ascii="Times New Roman;serif" w:hAnsi="Times New Roman;serif"/>
                          <w:b w:val="false"/>
                          <w:color w:val="000000"/>
                          <w:sz w:val="18"/>
                        </w:rPr>
                      </w:pPr>
                      <w:r>
                        <w:rPr>
                          <w:rFonts w:ascii="Times New Roman;serif" w:hAnsi="Times New Roman;serif"/>
                          <w:b w:val="false"/>
                          <w:color w:val="000000"/>
                          <w:sz w:val="18"/>
                        </w:rPr>
                        <w:t>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KVH INDUSTRIES, INC. AND SUBSIDIARIES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Consolidated Interim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 all amounts in thousands except per share amounts)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    Description of Business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KVH Industries, Inc. (together with its subsidiaries, the Company or KVH) develops, markets, and supports mobile connectivity and managed services and products for the maritime and land markets.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KVH’s service sales primarily represent revenue earned from satellite internet airtime services. In March 2023, KVH began selling terminals for the Starlink Low Earth Orbit (LEO) service and in September 2023 became a Starlink authorized hardware and airtime reseller. In October 2024, KVH expanded its portfolio to include Starlink Local Priority data plans, which is suitable for fixed and mobile uses on land and inland waterways, including lakes and rivers. KVH further expanded its LEO service and hardware portfolio in January 2025 with the launch of the Eutelsat OneWeb service for maritime applications. In addition, KVH provides, for monthly fixed and per-usage fees, satellite connectivity encompassing broadband internet and Voice over Internet Protocol (VoIP) services, to its TracNet® H-series and TracPhone® V-HTS series customers via KVH’s global high-throughput satellite (HTS) network. Following the July 2022 launch of the KVH ONE® hybrid network and TracNet H-series terminals and the subsequent introduction of the TracNet Coastal cellular/Wi-Fi terminal, KVH began to supplement its satellite-only airtime revenue with revenue from its cellular airtime service. KVH provides this combination of services and products in more than 130 countries. The May 2023 introduction of the KVH ONE OpenNet Program expanded access to KVH’s global HTS network and airtime services to non-KVH terminals.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AgilePlans, KVH’s connectivity as a service offering, is a monthly subscription model that provides global connectivity to commercial maritime customers. The subscription can include KVH VSAT terminals and data service, Starlink and Eutelsat OneWeb terminals and data service, KVH’s CommBox™ Edge Communications Gateway and associated service licensing, VoIP, daily news, subsidized shipping and installation, and global support for a monthly fee with no minimum contract commitment. KVH offers AgilePlans subscribers a variety of airtime data plans with varying data speeds and fixed data usage levels with per megabyte overage charges. These airtime plans are similar to those that the Company offers to customers who elect to purchase or lease a TracNet H-series, TracPhone V-HTS series, Starlink, or Eutelsat OneWeb terminal.</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recognizes the monthly AgilePlans subscription fee as service revenue over the service delivery period. The Company retains ownership of the hardware it provides to AgilePlans customers, who must return the hardware to KVH if they decide to terminate the service. Because KVH does not sell the hardware under AgilePlans, the Company does not recognize any product revenue when the hardware is deployed to an AgilePlans customer. KVH records the cost of the hardware used by AgilePlans customers as revenue-generating assets and depreciates the cost over an estimated useful life of two to five years. Since the Company retains ownership of the hardware, it does not accrue any warranty costs for AgilePlans hardware; however, any maintenance or refurbishment costs on the hardware are expensed in the period these costs are incurred.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Service sales also include the distribution of commercially licensed entertainment, including movies, television programming, news, and music, to commercial customers in the maritime market through the KVH Media Group, along with supplemental value-added cybersecurity, email, and crew internet services. In addition, KVH earns monthly usage fees from third-party satellite connectivity services, including VoIP, data and internet services, provided to its Viasat/Inmarsat and Iridium customers who choose to activate their subscriptions with KVH. Service sales also include sales from product repairs and extended warranty sales.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KVH’s satellite-only and hybrid products enable maritime customers to receive data, VoIP, and value-added services via satellite, cellular, and shore-based Wi-Fi networks onboard commercial and leisure vessels. In addition, the Company’s in-motion television terminals permit customers to receive live digital television via regional satellite services in maritime vessels, recreational vehicles, buses and automobiles. KVH sells its products through an extensive international network of dealers and distributors. KVH also sells and leases products to service providers and end users.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KVH’s maritime leisure business is highly seasonal. Seasonality can also impact the Company’s commercial maritime business, particularly the fishing market, although typically to a lesser degree. Temporary suspensions of the Company’s airtime services typically increase in the fourth and first quarters of each year as leisure boats are placed out of service during the winter months. Historically, the Company has generated the majority of its maritime leisure product revenues during the first and second quarters of each year, and these revenues typically decline in the third and fourth quarters of each year, compared to the first two quarters.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In February 2024, the Company announced a staged wind-down of its product manufacturing operations. The Company expects that it will continue its product manufacturing activities in order to generate a targeted amount of inventory of maritime satellite connectivity and satellite television terminals to meet anticipated demand and that it will cease substantially all manufacturing activity by the end of 2026. The Company expects to continue to facilitate customer transition to third-party hardware products compatible with its mobile satellite communications services.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(2)     Summary of Significant Accounting Policies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Basis of Presentation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accompanying consolidated interim financial statements of KVH Industries, Inc. and its wholly owned subsidiaries have been prepared in accordance with accounting principles generally accepted in the United States of America. The Company has evaluated all subsequent events through the date of this filing. All significant intercompany accounts and transactions have been eliminated in consolidation.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consolidated interim financial statements have not been audited by the Company’s independent registered public accounting firm and include all adjustments (consisting of only normal recurring adjustments) which are, in the opinion of management, necessary for a fair presentation of the financial condition, results of operations, and cash flows for the periods presented. These consolidated interim financial statements do not include all disclosures associated with annual financial statements and accordingly should be read in conjunction with the Company’s consolidated financial statements and related notes included in the Company’s annual report on Form 10-K for the year ended December 31, 2025 filed on March 10, 2026 with the Securities and Exchange Commission. The results for the three and six months ended June 30, 2026 are not necessarily indicative of operating results for the remainder of the year.</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Significant Estimates and Assumptions and Other Significant Non-Recurring Transactions</w:t>
      </w:r>
    </w:p>
    <w:p>
      <w:pPr>
        <w:pStyle w:val="TextBody"/>
        <w:bidi w:val="0"/>
        <w:spacing w:before="0" w:after="0"/>
        <w:ind w:left="0" w:right="0" w:firstLine="54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sales and expenses during the reporting periods. The estimates and assumptions used by management affect the Company’s revenue recognition, valuation of accounts receivable, valuation of inventory, valuation of prepaid assets, expected future cash flows (including growth rates, discount rates, terminal values and other assumptions and estimates used to evaluate the recoverability of long-lived assets and goodwill), estimated fair values of long-lived assets (including goodwill, amortization methods and amortization periods), certain accrued expenses and other related charges, stock-based compensation, contingent liabilities, forfeitures and key valuation assumptions for its share-based awards, estimated fulfillment costs for warranty obligations, tax reserves and recoverability of the Company’s net deferred tax assets and related valuation allowance, and the valuation of right-of-use assets and lease liabilities.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Although the Company regularly assesses these estimates, actual results could differ materially from these estimates. Changes in estimates are recorded in the period in which they become known. The Company bases its estimates on historical experience and various other assumptions that it believes to be reasonable under the circumstances.</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 xml:space="preserve">Foreign Currency Translation and Transaction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The financial statements of the Company’s foreign subsidiaries located in Denmark, Singapore, Brazil and Cyprus are maintained using the United States dollar as the functional currency. Exchange rates in effect on the date of the transaction (i.e., the date on which the underlying revenue, expense, asset or liability-creating event occurs) are used to record monetary assets and liabilities. Revenue and other expense elements are recorded at rates that approximate the rates in effect on the transaction dates. Foreign currency exchange gains and losses are recognized within “other expense, net” in the accompanying consolidated statements of operations. The Company recorded net foreign currency exchange gains (losses), which are comprised of both realized and unrealized foreign currency exchange gains and losses, in its accompanying consolidated statements of operations of $(13)</w:t>
      </w:r>
      <w:r>
        <w:rPr>
          <w:color w:val="EE2724"/>
        </w:rPr>
        <w:t xml:space="preserve"> </w:t>
      </w:r>
      <w:r>
        <w:rPr>
          <w:rFonts w:ascii="Times New Roman;serif" w:hAnsi="Times New Roman;serif"/>
          <w:b w:val="false"/>
          <w:color w:val="000000"/>
          <w:sz w:val="20"/>
        </w:rPr>
        <w:t>and $(101) for the three months ended June 30, 2026 and 2025, respectively, $62 and $(132) for the six months ended June 30,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financial statements of the Company’s foreign subsidiaries located in the United Kingdom, Norway, India and Japan use the foreign subsidiaries’ respective local currencies as the functional currency. The Company translates the assets and liabilities of these foreign subsidiaries at the exchange rates in effect at the end of each reporting period. Net sales, costs and expenses are translated using average exchange rates in effect during the period. Gains and losses from foreign currency translation are credited or charged to accumulated other comprehensive loss included in stockholders' equity in the accompanying consolidated balance sheets.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shd w:fill="FFFFFF" w:val="clear"/>
        </w:rPr>
        <w:t>(3)     </w:t>
      </w:r>
      <w:r>
        <w:rPr>
          <w:rFonts w:ascii="Times New Roman;serif" w:hAnsi="Times New Roman;serif"/>
          <w:b/>
          <w:color w:val="000000"/>
          <w:sz w:val="20"/>
        </w:rPr>
        <w:t>Recently Issued Accounting Standards and Accounting Standards Not yet Adopted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November 2024, the FASB issued ASU No. 2024-03, Income Statement—Reporting Comprehensive Income—Expense Disaggregation Disclosures (Subtopic 220-40): Disaggregation of Income Statement Expenses. The standard requires public business entities to provide further disaggregated information of relevant expense captions within its consolidated statements of operations. The standard is effective for annual periods beginning after December 15, 2026 and interim periods within annual periods beginning after December 15, 2027. The standard may be applied prospectively or retrospectively. The adoption will result in disclosure changes only.</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no other recent accounting pronouncements that have been issued by the FASB that are not yet effective that the Company expects would have a material impact on the Company’s financial statements, including disclosures.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(4)     Stockholders' Equity</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i/>
          <w:color w:val="000000"/>
          <w:sz w:val="20"/>
        </w:rPr>
      </w:pPr>
      <w:r>
        <w:rPr>
          <w:rFonts w:ascii="Times New Roman;serif" w:hAnsi="Times New Roman;serif"/>
          <w:b/>
          <w:i/>
          <w:color w:val="000000"/>
          <w:sz w:val="20"/>
        </w:rPr>
        <w:t>(a) Stock Equity and Incentive Plan</w:t>
      </w:r>
    </w:p>
    <w:p>
      <w:pPr>
        <w:pStyle w:val="TextBody"/>
        <w:bidi w:val="0"/>
        <w:spacing w:lineRule="auto" w:line="288" w:before="180" w:after="283"/>
        <w:ind w:left="0" w:right="0" w:firstLine="540"/>
        <w:jc w:val="both"/>
        <w:rPr/>
      </w:pPr>
      <w:r>
        <w:rPr>
          <w:rFonts w:ascii="Times New Roman;serif" w:hAnsi="Times New Roman;serif"/>
          <w:b w:val="false"/>
          <w:color w:val="000000"/>
          <w:sz w:val="20"/>
        </w:rPr>
        <w:t xml:space="preserve">The Company recognizes stock-based compensation in accordance with the provisions of ASC Topic 718, </w:t>
      </w:r>
      <w:r>
        <w:rPr>
          <w:rFonts w:ascii="Times New Roman;serif" w:hAnsi="Times New Roman;serif"/>
          <w:b w:val="false"/>
          <w:i/>
          <w:color w:val="000000"/>
          <w:sz w:val="20"/>
        </w:rPr>
        <w:t>Compensation-Stock Compensation</w:t>
      </w:r>
      <w:r>
        <w:rPr>
          <w:rFonts w:ascii="Times New Roman;serif" w:hAnsi="Times New Roman;serif"/>
          <w:b w:val="false"/>
          <w:color w:val="000000"/>
          <w:sz w:val="20"/>
        </w:rPr>
        <w:t>. Stock-based compensation expense was $413 and $432, excluding $(2) and $2 of compensation expense related to our Amended and Restated 1996 Employee Stock Purchase Plan, or the ESPP, for the three months ended June 30, 2026 and 2025, respectively, and $715 and $767, excluding $2 and $4 of compensation expense related to ESPP, for the six months ended June 30, 2026 and 2025, respectively. As of June 30, 2026, there was $1,938 of total unrecognized compensation expense related to stock options, which is expected to be recognized over a weighted-average period of 2.96 years. As of June 30, 2026, there was $317 of total unrecognized compensation expense related to restricted stock awards, which is expected to be recognized over a weighted-average period of 1.29 years.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Stock Options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66 thousand shares of common stock were issued upon the exercise of stock options. No shares were surrendered to the Company to satisfy minimum tax withholding obligations. Additionally, during the three months ended June 30, 2026, no stock options were granted and 84 thousand stock options expired, were canceled or were forfeited. During the three months ended June 30, 2025, 6 thousand shares of common stock were issued upon the exercise of stock options. No shares were surrendered to the Company to satisfy minimum tax withholding obligations. Additionally, during the three months ended June 30, 2025, 50 thousand stock options were granted and 64 thousand stock options expired, were canceled or were forfeited.</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84 thousand shares of common stock were issued upon the exercise of stock options. No shares were surrendered to the Company to satisfy minimum tax withholding obligations. Additionally, during the six months ended June 30, 2026, 460 thousand stock options were granted and 243 thousand stock options expired, were canceled or were forfeited. During the six months ended June 30, 2025, 6 thousand shares of common stock were issued upon the exercise of stock options. No shares were surrendered to the Company to satisfy minimum tax withholding obligations. Additionally, during the six months ended June 30, 2025, 575 thousand stock options were granted and 127 thousand stock options expired, were canceled or were forfeited.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historically estimated the fair value of each option grant on the date of grant using the Black-Scholes option-pricing model. The weighted average assumptions utilized to determine the fair value of options granted during the six months ended June 30, 2026 and 2025 are as follows:</w:t>
      </w:r>
    </w:p>
    <w:tbl>
      <w:tblPr>
        <w:tblW w:w="5404" w:type="dxa"/>
        <w:jc w:val="left"/>
        <w:tblInd w:w="0" w:type="dxa"/>
        <w:tblLayout w:type="fixed"/>
        <w:tblCellMar>
          <w:top w:w="28" w:type="dxa"/>
          <w:left w:w="28" w:type="dxa"/>
          <w:bottom w:w="28" w:type="dxa"/>
          <w:right w:w="28" w:type="dxa"/>
        </w:tblCellMar>
      </w:tblPr>
      <w:tblGrid>
        <w:gridCol w:w="723"/>
        <w:gridCol w:w="634"/>
        <w:gridCol w:w="638"/>
        <w:gridCol w:w="352"/>
        <w:gridCol w:w="264"/>
        <w:gridCol w:w="495"/>
        <w:gridCol w:w="199"/>
        <w:gridCol w:w="199"/>
        <w:gridCol w:w="199"/>
        <w:gridCol w:w="352"/>
        <w:gridCol w:w="264"/>
        <w:gridCol w:w="495"/>
        <w:gridCol w:w="109"/>
        <w:gridCol w:w="109"/>
        <w:gridCol w:w="109"/>
        <w:gridCol w:w="109"/>
        <w:gridCol w:w="154"/>
      </w:tblGrid>
      <w:tr>
        <w:trPr/>
        <w:tc>
          <w:tcPr>
            <w:tcW w:w="723"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8"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Risk-free interest rate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49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41.90 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40.73 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life (in years)</w:t>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w:t>
            </w:r>
          </w:p>
        </w:tc>
        <w:tc>
          <w:tcPr>
            <w:tcW w:w="5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Dividend yield</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5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0 </w:t>
            </w:r>
          </w:p>
        </w:tc>
        <w:tc>
          <w:tcPr>
            <w:tcW w:w="49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597" w:type="dxa"/>
            <w:gridSpan w:val="3"/>
            <w:tcBorders/>
            <w:vAlign w:val="center"/>
          </w:tcPr>
          <w:p>
            <w:pPr>
              <w:pStyle w:val="TableContents"/>
              <w:bidi w:val="0"/>
              <w:spacing w:before="0" w:after="283"/>
              <w:jc w:val="left"/>
              <w:rPr>
                <w:sz w:val="4"/>
                <w:szCs w:val="4"/>
              </w:rPr>
            </w:pPr>
            <w:r>
              <w:rPr>
                <w:sz w:val="4"/>
                <w:szCs w:val="4"/>
              </w:rPr>
            </w:r>
          </w:p>
        </w:tc>
        <w:tc>
          <w:tcPr>
            <w:tcW w:w="11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As of June 30, 2026, there were 1,393 thousand options outstanding with a weighted average exercise price of $6.44 per share and 442 thousand options exercisable with a weighted average exercise price of $7.41 per share. As of June 30, 2025, there were 1,397 thousand options outstanding with a weighted average exercise price of $7.19 per share and 510 thousand options exercisable with a weighted average exercise price of $8.96 per share.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val="false"/>
          <w:i/>
          <w:color w:val="000000"/>
          <w:sz w:val="20"/>
          <w:u w:val="single"/>
        </w:rPr>
      </w:pPr>
      <w:r>
        <w:rPr>
          <w:rFonts w:ascii="Times New Roman;serif" w:hAnsi="Times New Roman;serif"/>
          <w:b w:val="false"/>
          <w:i/>
          <w:color w:val="000000"/>
          <w:sz w:val="20"/>
          <w:u w:val="single"/>
        </w:rPr>
        <w:t>Restricted Stock</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shares of restricted stock were granted and 3 thousand shares of restricted stock were forfeited. Additionally, during the three months ended June 30, 2026, 52 thousand shares of restricted stock vested. During the three months ended June 30, 2025, no shares of restricted stock were granted and 1 thousand shares of restricted stock were forfeited. Additionally, during the three months ended June 30, 2025, 63 thousand shares of restricted stock vested.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During the six months ended June 30, 2026, no shares of restricted stock were granted and 21 thousand shares of restricted stock were forfeited. Additionally, during the six months ended June 30, 2026, 112 thousand shares of restricted stock vested. During the six months ended June 30, 2025, no shares of restricted stock were granted and 22 thousand shares of restricted stock were forfeited. Additionally, during the six months ended June 30, 2025, 146 thousand shares of restricted stock vested.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and 2025, the Company had no unvested outstanding options and no outstanding shares of restricted stock that were subject to performance-based or market-based vesting conditions.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i/>
          <w:color w:val="000000"/>
          <w:sz w:val="20"/>
        </w:rPr>
      </w:pPr>
      <w:r>
        <w:rPr>
          <w:rFonts w:ascii="Times New Roman;serif" w:hAnsi="Times New Roman;serif"/>
          <w:b/>
          <w:i/>
          <w:color w:val="000000"/>
          <w:sz w:val="20"/>
        </w:rPr>
        <w:t>(b) Employee Stock Purchase Plan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ESPP affords eligible employees the right to purchase common stock, via payroll deductions, through various offering periods at a purchase price equal to 85% of the fair market value of the common stock on the first or last day of the offering period, whichever is lower. During the three months ended June 30, 2026 and 2025, 6 thousand shares and no shares were issued under the ESPP, respectively. During the six months ended June 30, 2026 and 2025, 6 thousand and no shares were issued under the ESPP, respectively. The Company recorded compensation charges related to the ESPP of $(2) and $2 for the three months ended June 30, 2026 and 2025, respectively, and $2 and $4 for the six months ended June 30, 2026 and 2025,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0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(c) Stock-Based Compensation Expense</w:t>
      </w:r>
    </w:p>
    <w:p>
      <w:pPr>
        <w:pStyle w:val="TextBody"/>
        <w:bidi w:val="0"/>
        <w:spacing w:lineRule="auto" w:line="288" w:before="10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stock-based compensation expense, including expense for the ESPP, in the Company's consolidated statements of operations for the three and six months ended June 30, 2026 and 2025, respectively: </w:t>
      </w:r>
    </w:p>
    <w:p>
      <w:pPr>
        <w:pStyle w:val="TextBody"/>
        <w:bidi w:val="0"/>
        <w:spacing w:before="100" w:after="283"/>
        <w:ind w:left="0" w:right="0" w:firstLine="495"/>
        <w:jc w:val="left"/>
        <w:rPr/>
      </w:pPr>
      <w:r>
        <w:rPr/>
      </w:r>
    </w:p>
    <w:tbl>
      <w:tblPr>
        <w:tblW w:w="7836" w:type="dxa"/>
        <w:jc w:val="left"/>
        <w:tblInd w:w="0" w:type="dxa"/>
        <w:tblLayout w:type="fixed"/>
        <w:tblCellMar>
          <w:top w:w="28" w:type="dxa"/>
          <w:left w:w="28" w:type="dxa"/>
          <w:bottom w:w="28" w:type="dxa"/>
          <w:right w:w="28" w:type="dxa"/>
        </w:tblCellMar>
      </w:tblPr>
      <w:tblGrid>
        <w:gridCol w:w="891"/>
        <w:gridCol w:w="783"/>
        <w:gridCol w:w="786"/>
        <w:gridCol w:w="287"/>
        <w:gridCol w:w="654"/>
        <w:gridCol w:w="148"/>
        <w:gridCol w:w="148"/>
        <w:gridCol w:w="148"/>
        <w:gridCol w:w="148"/>
        <w:gridCol w:w="287"/>
        <w:gridCol w:w="654"/>
        <w:gridCol w:w="148"/>
        <w:gridCol w:w="109"/>
        <w:gridCol w:w="109"/>
        <w:gridCol w:w="109"/>
        <w:gridCol w:w="259"/>
        <w:gridCol w:w="592"/>
        <w:gridCol w:w="134"/>
        <w:gridCol w:w="134"/>
        <w:gridCol w:w="134"/>
        <w:gridCol w:w="134"/>
        <w:gridCol w:w="259"/>
        <w:gridCol w:w="592"/>
        <w:gridCol w:w="189"/>
      </w:tblGrid>
      <w:tr>
        <w:trPr/>
        <w:tc>
          <w:tcPr>
            <w:tcW w:w="891"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 June 30,</w:t>
            </w:r>
          </w:p>
        </w:tc>
      </w:tr>
      <w:tr>
        <w:trPr/>
        <w:tc>
          <w:tcPr>
            <w:tcW w:w="2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4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service sales</w:t>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13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product sales</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support</w:t>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154 </w:t>
            </w:r>
          </w:p>
        </w:tc>
        <w:tc>
          <w:tcPr>
            <w:tcW w:w="1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334 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305 </w:t>
            </w:r>
          </w:p>
        </w:tc>
        <w:tc>
          <w:tcPr>
            <w:tcW w:w="1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602 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411</w:t>
            </w:r>
            <w:r>
              <w:rPr>
                <w:color w:val="000000"/>
              </w:rPr>
              <w:t>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6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434</w:t>
            </w:r>
            <w:r>
              <w:rPr>
                <w:color w:val="000000"/>
              </w:rPr>
              <w:t> </w:t>
            </w:r>
          </w:p>
        </w:tc>
        <w:tc>
          <w:tcPr>
            <w:tcW w:w="1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717</w:t>
            </w:r>
            <w:r>
              <w:rPr>
                <w:color w:val="000000"/>
              </w:rPr>
              <w:t> </w:t>
            </w:r>
          </w:p>
        </w:tc>
        <w:tc>
          <w:tcPr>
            <w:tcW w:w="13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59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pPr>
            <w:r>
              <w:rPr>
                <w:rFonts w:ascii="Times New Roman;serif" w:hAnsi="Times New Roman;serif"/>
                <w:b/>
                <w:color w:val="000000"/>
                <w:sz w:val="20"/>
              </w:rPr>
              <w:t>771</w:t>
            </w:r>
            <w:r>
              <w:rPr>
                <w:color w:val="000000"/>
              </w:rPr>
              <w:t> </w:t>
            </w:r>
          </w:p>
        </w:tc>
        <w:tc>
          <w:tcPr>
            <w:tcW w:w="1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88" w:before="100" w:after="283"/>
        <w:ind w:left="0" w:right="0" w:firstLine="495"/>
        <w:jc w:val="both"/>
        <w:rPr>
          <w:rFonts w:ascii="Times New Roman;serif" w:hAnsi="Times New Roman;serif"/>
          <w:b/>
          <w:i/>
          <w:color w:val="000000"/>
          <w:sz w:val="20"/>
        </w:rPr>
      </w:pPr>
      <w:r>
        <w:rPr>
          <w:rFonts w:ascii="Times New Roman;serif" w:hAnsi="Times New Roman;serif"/>
          <w:b/>
          <w:i/>
          <w:color w:val="000000"/>
          <w:sz w:val="20"/>
        </w:rPr>
        <w:t>(d) Accumulated Other Comprehensive Loss (AOCL)</w:t>
      </w:r>
    </w:p>
    <w:p>
      <w:pPr>
        <w:pStyle w:val="TextBody"/>
        <w:bidi w:val="0"/>
        <w:spacing w:before="0" w:after="0"/>
        <w:ind w:left="0" w:right="0" w:firstLine="54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Comprehensive income (loss) includes net income (loss), unrealized gains and losses from foreign currency translation, and unrealized gains and losses on available for sale marketable securities. The components of the Company’s comprehensive income (loss) and the effect on earnings for the periods presented are detailed in the accompanying consolidated statements of comprehensive income.</w:t>
      </w:r>
    </w:p>
    <w:p>
      <w:pPr>
        <w:pStyle w:val="TextBody"/>
        <w:bidi w:val="0"/>
        <w:spacing w:before="0" w:after="0"/>
        <w:ind w:left="0" w:right="0" w:firstLine="45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firstLine="450"/>
        <w:jc w:val="both"/>
        <w:rPr/>
      </w:pPr>
      <w:r>
        <w:rPr/>
      </w:r>
    </w:p>
    <w:p>
      <w:pPr>
        <w:pStyle w:val="TextBody"/>
        <w:bidi w:val="0"/>
        <w:spacing w:lineRule="auto" w:line="288" w:before="0" w:after="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 xml:space="preserve">The balances for the three months ended June 30, 2026 and 2025 are as follows: </w:t>
      </w:r>
    </w:p>
    <w:tbl>
      <w:tblPr>
        <w:tblW w:w="10047" w:type="dxa"/>
        <w:jc w:val="center"/>
        <w:tblInd w:w="0" w:type="dxa"/>
        <w:tblLayout w:type="fixed"/>
        <w:tblCellMar>
          <w:top w:w="28" w:type="dxa"/>
          <w:left w:w="28" w:type="dxa"/>
          <w:bottom w:w="28" w:type="dxa"/>
          <w:right w:w="28" w:type="dxa"/>
        </w:tblCellMar>
      </w:tblPr>
      <w:tblGrid>
        <w:gridCol w:w="902"/>
        <w:gridCol w:w="791"/>
        <w:gridCol w:w="797"/>
        <w:gridCol w:w="594"/>
        <w:gridCol w:w="1781"/>
        <w:gridCol w:w="309"/>
        <w:gridCol w:w="109"/>
        <w:gridCol w:w="109"/>
        <w:gridCol w:w="109"/>
        <w:gridCol w:w="109"/>
        <w:gridCol w:w="109"/>
        <w:gridCol w:w="901"/>
        <w:gridCol w:w="2697"/>
        <w:gridCol w:w="467"/>
        <w:gridCol w:w="109"/>
        <w:gridCol w:w="154"/>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269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Accumulated Other Comprehensive Loss</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2026</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(4,395)</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69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(4,395)</w:t>
            </w:r>
          </w:p>
        </w:tc>
        <w:tc>
          <w:tcPr>
            <w:tcW w:w="46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2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4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065"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5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(4,291)</w:t>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69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(4,291)</w:t>
            </w:r>
          </w:p>
        </w:tc>
        <w:tc>
          <w:tcPr>
            <w:tcW w:w="4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tbl>
      <w:tblPr>
        <w:tblW w:w="10046" w:type="dxa"/>
        <w:jc w:val="center"/>
        <w:tblInd w:w="0" w:type="dxa"/>
        <w:tblLayout w:type="fixed"/>
        <w:tblCellMar>
          <w:top w:w="28" w:type="dxa"/>
          <w:left w:w="28" w:type="dxa"/>
          <w:bottom w:w="28" w:type="dxa"/>
          <w:right w:w="28" w:type="dxa"/>
        </w:tblCellMar>
      </w:tblPr>
      <w:tblGrid>
        <w:gridCol w:w="902"/>
        <w:gridCol w:w="791"/>
        <w:gridCol w:w="797"/>
        <w:gridCol w:w="594"/>
        <w:gridCol w:w="1781"/>
        <w:gridCol w:w="309"/>
        <w:gridCol w:w="109"/>
        <w:gridCol w:w="109"/>
        <w:gridCol w:w="109"/>
        <w:gridCol w:w="109"/>
        <w:gridCol w:w="109"/>
        <w:gridCol w:w="109"/>
        <w:gridCol w:w="109"/>
        <w:gridCol w:w="869"/>
        <w:gridCol w:w="2601"/>
        <w:gridCol w:w="639"/>
      </w:tblGrid>
      <w:tr>
        <w:trPr/>
        <w:tc>
          <w:tcPr>
            <w:tcW w:w="902"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Accumulated Other Comprehensive Loss</w:t>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March 31, 2025</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(3,310)</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(3,310)</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2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4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5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(3,032)</w:t>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(3,032)</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
        <w:ind w:left="0" w:right="0" w:firstLine="450"/>
        <w:jc w:val="both"/>
        <w:rPr>
          <w:rFonts w:ascii="Times New Roman;serif" w:hAnsi="Times New Roman;serif"/>
          <w:b w:val="false"/>
          <w:color w:val="000000"/>
          <w:sz w:val="20"/>
        </w:rPr>
      </w:pPr>
      <w:r>
        <w:rPr>
          <w:rFonts w:ascii="Times New Roman;serif" w:hAnsi="Times New Roman;serif"/>
          <w:b w:val="false"/>
          <w:color w:val="000000"/>
          <w:sz w:val="20"/>
        </w:rPr>
        <w:t>The balances for the six months ended June 30, 2026 and 2025 are as follows:</w:t>
      </w:r>
    </w:p>
    <w:tbl>
      <w:tblPr>
        <w:tblW w:w="9857" w:type="dxa"/>
        <w:jc w:val="center"/>
        <w:tblInd w:w="0" w:type="dxa"/>
        <w:tblLayout w:type="fixed"/>
        <w:tblCellMar>
          <w:top w:w="28" w:type="dxa"/>
          <w:left w:w="28" w:type="dxa"/>
          <w:bottom w:w="28" w:type="dxa"/>
          <w:right w:w="28" w:type="dxa"/>
        </w:tblCellMar>
      </w:tblPr>
      <w:tblGrid>
        <w:gridCol w:w="912"/>
        <w:gridCol w:w="801"/>
        <w:gridCol w:w="806"/>
        <w:gridCol w:w="594"/>
        <w:gridCol w:w="1781"/>
        <w:gridCol w:w="309"/>
        <w:gridCol w:w="109"/>
        <w:gridCol w:w="109"/>
        <w:gridCol w:w="109"/>
        <w:gridCol w:w="109"/>
        <w:gridCol w:w="109"/>
        <w:gridCol w:w="869"/>
        <w:gridCol w:w="2601"/>
        <w:gridCol w:w="639"/>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Accumulated Other Comprehensive Loss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2025</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(4,161)</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(4,161)</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loss</w:t>
            </w:r>
          </w:p>
        </w:tc>
        <w:tc>
          <w:tcPr>
            <w:tcW w:w="2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2026</w:t>
            </w:r>
          </w:p>
        </w:tc>
        <w:tc>
          <w:tcPr>
            <w:tcW w:w="594"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(4,291)</w:t>
            </w:r>
          </w:p>
        </w:tc>
        <w:tc>
          <w:tcPr>
            <w:tcW w:w="3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6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(4,291)</w:t>
            </w:r>
          </w:p>
        </w:tc>
        <w:tc>
          <w:tcPr>
            <w:tcW w:w="63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9857" w:type="dxa"/>
        <w:jc w:val="center"/>
        <w:tblInd w:w="0" w:type="dxa"/>
        <w:tblLayout w:type="fixed"/>
        <w:tblCellMar>
          <w:top w:w="28" w:type="dxa"/>
          <w:left w:w="28" w:type="dxa"/>
          <w:bottom w:w="28" w:type="dxa"/>
          <w:right w:w="28" w:type="dxa"/>
        </w:tblCellMar>
      </w:tblPr>
      <w:tblGrid>
        <w:gridCol w:w="912"/>
        <w:gridCol w:w="801"/>
        <w:gridCol w:w="806"/>
        <w:gridCol w:w="594"/>
        <w:gridCol w:w="1781"/>
        <w:gridCol w:w="309"/>
        <w:gridCol w:w="109"/>
        <w:gridCol w:w="109"/>
        <w:gridCol w:w="109"/>
        <w:gridCol w:w="109"/>
        <w:gridCol w:w="109"/>
        <w:gridCol w:w="869"/>
        <w:gridCol w:w="2601"/>
        <w:gridCol w:w="639"/>
      </w:tblGrid>
      <w:tr>
        <w:trPr/>
        <w:tc>
          <w:tcPr>
            <w:tcW w:w="912"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vAlign w:val="center"/>
          </w:tcPr>
          <w:p>
            <w:pPr>
              <w:pStyle w:val="TableContents"/>
              <w:bidi w:val="0"/>
              <w:spacing w:before="0" w:after="283"/>
              <w:jc w:val="left"/>
              <w:rPr>
                <w:sz w:val="4"/>
                <w:szCs w:val="4"/>
              </w:rPr>
            </w:pPr>
            <w:r>
              <w:rPr>
                <w:sz w:val="4"/>
                <w:szCs w:val="4"/>
              </w:rPr>
            </w:r>
          </w:p>
        </w:tc>
        <w:tc>
          <w:tcPr>
            <w:tcW w:w="2601"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Foreign Currency 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Accumulated Other Comprehensive Loss</w:t>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December 31, 2024</w:t>
            </w:r>
          </w:p>
        </w:tc>
        <w:tc>
          <w:tcPr>
            <w:tcW w:w="594"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(4,032)</w:t>
            </w:r>
          </w:p>
        </w:tc>
        <w:tc>
          <w:tcPr>
            <w:tcW w:w="3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6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(4,032)</w:t>
            </w:r>
          </w:p>
        </w:tc>
        <w:tc>
          <w:tcPr>
            <w:tcW w:w="63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23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6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vAlign w:val="center"/>
          </w:tcPr>
          <w:p>
            <w:pPr>
              <w:pStyle w:val="TableContents"/>
              <w:bidi w:val="0"/>
              <w:spacing w:before="0" w:after="283"/>
              <w:jc w:val="left"/>
              <w:rPr>
                <w:sz w:val="4"/>
                <w:szCs w:val="4"/>
              </w:rPr>
            </w:pPr>
            <w:r>
              <w:rPr>
                <w:sz w:val="4"/>
                <w:szCs w:val="4"/>
              </w:rPr>
            </w:r>
          </w:p>
        </w:tc>
        <w:tc>
          <w:tcPr>
            <w:tcW w:w="26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09" w:type="dxa"/>
            <w:gridSpan w:val="3"/>
            <w:tcBorders/>
            <w:vAlign w:val="center"/>
          </w:tcPr>
          <w:p>
            <w:pPr>
              <w:pStyle w:val="TableContents"/>
              <w:bidi w:val="0"/>
              <w:spacing w:before="0" w:after="283"/>
              <w:jc w:val="left"/>
              <w:rPr>
                <w:sz w:val="4"/>
                <w:szCs w:val="4"/>
              </w:rPr>
            </w:pPr>
            <w:r>
              <w:rPr>
                <w:sz w:val="4"/>
                <w:szCs w:val="4"/>
              </w:rPr>
            </w:r>
          </w:p>
        </w:tc>
      </w:tr>
      <w:tr>
        <w:trPr/>
        <w:tc>
          <w:tcPr>
            <w:tcW w:w="25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Balance, June 30, 2025</w:t>
            </w:r>
          </w:p>
        </w:tc>
        <w:tc>
          <w:tcPr>
            <w:tcW w:w="59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17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(3,032)</w:t>
            </w:r>
          </w:p>
        </w:tc>
        <w:tc>
          <w:tcPr>
            <w:tcW w:w="3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w:t>
            </w:r>
          </w:p>
        </w:tc>
        <w:tc>
          <w:tcPr>
            <w:tcW w:w="26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(3,032)</w:t>
            </w:r>
          </w:p>
        </w:tc>
        <w:tc>
          <w:tcPr>
            <w:tcW w:w="63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(5)     Net Income (Loss) per Common Share</w:t>
      </w:r>
    </w:p>
    <w:p>
      <w:pPr>
        <w:pStyle w:val="TextBody"/>
        <w:bidi w:val="0"/>
        <w:spacing w:before="0" w:after="0"/>
        <w:jc w:val="left"/>
        <w:rPr/>
      </w:pPr>
      <w:r>
        <w:rPr/>
      </w:r>
    </w:p>
    <w:p>
      <w:pPr>
        <w:pStyle w:val="TextBody"/>
        <w:bidi w:val="0"/>
        <w:spacing w:lineRule="auto" w:line="288" w:before="0" w:after="0"/>
        <w:jc w:val="left"/>
        <w:rPr/>
      </w:pPr>
      <w:r>
        <w:rPr>
          <w:color w:val="000000"/>
        </w:rPr>
        <w:t>    </w:t>
      </w:r>
      <w:r>
        <w:rPr>
          <w:rFonts w:ascii="Times New Roman;serif" w:hAnsi="Times New Roman;serif"/>
          <w:b w:val="false"/>
          <w:color w:val="000000"/>
          <w:sz w:val="20"/>
        </w:rPr>
        <w:t xml:space="preserve">Basic net income (loss) per share is calculated based on the weighted average number of common shares outstanding during the period. Diluted net income per share incorporates the dilutive effect of common stock equivalent options, warrants and other convertible securities, if any, as determined with the treasury stock accounting method. For the three and six months ended June 30, 2026, the computation of diluted weighted-average common shares outstanding excludes 151 thousand and 166 thousand weighted average anti-dilutive stock-based awards outstanding, respectively. For the </w:t>
      </w:r>
      <w:r>
        <w:rPr>
          <w:rFonts w:ascii="Times New Roman;serif" w:hAnsi="Times New Roman;serif"/>
          <w:b w:val="false"/>
          <w:color w:val="000000"/>
          <w:sz w:val="18"/>
        </w:rPr>
        <w:t>three months ended June 30, 2025</w:t>
      </w:r>
      <w:r>
        <w:rPr>
          <w:rFonts w:ascii="Times New Roman;serif" w:hAnsi="Times New Roman;serif"/>
          <w:b w:val="false"/>
          <w:color w:val="000000"/>
          <w:sz w:val="20"/>
        </w:rPr>
        <w:t>, the computation of diluted weighted-average common shares outstanding excludes 1,396 thousand weighted average anti-dilutive stock-based awards outstanding. For the six months ended June 30, 2025, since there was a net loss, the company excluded 1,252 thousand shares in underlying outstanding stock options and non-vested restricted shares from its diluted loss per share calculation, as inclusion of these convertible securities would have reduced the net loss per share.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 reconciliation of the basic and diluted weighted average common shares outstanding is as follows: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828"/>
        <w:gridCol w:w="1604"/>
        <w:gridCol w:w="1608"/>
        <w:gridCol w:w="360"/>
        <w:gridCol w:w="361"/>
        <w:gridCol w:w="201"/>
        <w:gridCol w:w="201"/>
        <w:gridCol w:w="201"/>
        <w:gridCol w:w="201"/>
        <w:gridCol w:w="360"/>
        <w:gridCol w:w="361"/>
        <w:gridCol w:w="201"/>
        <w:gridCol w:w="109"/>
        <w:gridCol w:w="109"/>
        <w:gridCol w:w="109"/>
        <w:gridCol w:w="360"/>
        <w:gridCol w:w="361"/>
        <w:gridCol w:w="177"/>
        <w:gridCol w:w="173"/>
        <w:gridCol w:w="173"/>
        <w:gridCol w:w="173"/>
        <w:gridCol w:w="360"/>
        <w:gridCol w:w="361"/>
        <w:gridCol w:w="253"/>
      </w:tblGrid>
      <w:tr>
        <w:trPr/>
        <w:tc>
          <w:tcPr>
            <w:tcW w:w="1828" w:type="dxa"/>
            <w:tcBorders/>
            <w:vAlign w:val="center"/>
          </w:tcPr>
          <w:p>
            <w:pPr>
              <w:pStyle w:val="TableContents"/>
              <w:bidi w:val="0"/>
              <w:spacing w:before="0" w:after="283"/>
              <w:jc w:val="left"/>
              <w:rPr>
                <w:sz w:val="4"/>
                <w:szCs w:val="4"/>
              </w:rPr>
            </w:pPr>
            <w:r>
              <w:rPr>
                <w:sz w:val="4"/>
                <w:szCs w:val="4"/>
              </w:rPr>
            </w:r>
          </w:p>
        </w:tc>
        <w:tc>
          <w:tcPr>
            <w:tcW w:w="1604"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51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outstanding—basic</w:t>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19,394 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19,401 </w:t>
            </w:r>
          </w:p>
        </w:tc>
        <w:tc>
          <w:tcPr>
            <w:tcW w:w="201"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19,363 </w:t>
            </w:r>
          </w:p>
        </w:tc>
        <w:tc>
          <w:tcPr>
            <w:tcW w:w="17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19,446 </w:t>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Dilutive common shares issuable in connection with stock plans</w:t>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20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common shares outstanding—diluted</w:t>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19,666 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19,441 </w:t>
            </w:r>
          </w:p>
        </w:tc>
        <w:tc>
          <w:tcPr>
            <w:tcW w:w="20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19,554 </w:t>
            </w:r>
          </w:p>
        </w:tc>
        <w:tc>
          <w:tcPr>
            <w:tcW w:w="17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19,446 </w:t>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(6)     Inventories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Inventories are stated at the lower of cost or net realizable value using the first-in first-out weighted-average costing method. Inventories as of June 30, 2026 and December 31, 2025 include the costs of material, labor, and factory overhead. Components of inventories consist of the following:</w:t>
      </w:r>
    </w:p>
    <w:tbl>
      <w:tblPr>
        <w:tblW w:w="4098" w:type="dxa"/>
        <w:jc w:val="center"/>
        <w:tblInd w:w="0" w:type="dxa"/>
        <w:tblLayout w:type="fixed"/>
        <w:tblCellMar>
          <w:top w:w="28" w:type="dxa"/>
          <w:left w:w="28" w:type="dxa"/>
          <w:bottom w:w="28" w:type="dxa"/>
          <w:right w:w="28" w:type="dxa"/>
        </w:tblCellMar>
      </w:tblPr>
      <w:tblGrid>
        <w:gridCol w:w="516"/>
        <w:gridCol w:w="453"/>
        <w:gridCol w:w="456"/>
        <w:gridCol w:w="211"/>
        <w:gridCol w:w="721"/>
        <w:gridCol w:w="109"/>
        <w:gridCol w:w="109"/>
        <w:gridCol w:w="109"/>
        <w:gridCol w:w="109"/>
        <w:gridCol w:w="253"/>
        <w:gridCol w:w="867"/>
        <w:gridCol w:w="185"/>
      </w:tblGrid>
      <w:tr>
        <w:trPr/>
        <w:tc>
          <w:tcPr>
            <w:tcW w:w="51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4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Raw materials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6,455 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Work in process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2,264 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Finished goods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6,140 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14,859 </w:t>
            </w:r>
          </w:p>
        </w:tc>
        <w:tc>
          <w:tcPr>
            <w:tcW w:w="1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(7)     Prepaid Expenses and Other Current Assets</w:t>
      </w:r>
    </w:p>
    <w:p>
      <w:pPr>
        <w:pStyle w:val="TextBody"/>
        <w:bidi w:val="0"/>
        <w:spacing w:before="0" w:after="0"/>
        <w:jc w:val="both"/>
        <w:rPr/>
      </w:pPr>
      <w:r>
        <w:rPr/>
      </w:r>
    </w:p>
    <w:tbl>
      <w:tblPr>
        <w:tblW w:w="6617" w:type="dxa"/>
        <w:jc w:val="center"/>
        <w:tblInd w:w="0" w:type="dxa"/>
        <w:tblLayout w:type="fixed"/>
        <w:tblCellMar>
          <w:top w:w="28" w:type="dxa"/>
          <w:left w:w="28" w:type="dxa"/>
          <w:bottom w:w="28" w:type="dxa"/>
          <w:right w:w="28" w:type="dxa"/>
        </w:tblCellMar>
      </w:tblPr>
      <w:tblGrid>
        <w:gridCol w:w="1427"/>
        <w:gridCol w:w="1256"/>
        <w:gridCol w:w="1261"/>
        <w:gridCol w:w="211"/>
        <w:gridCol w:w="721"/>
        <w:gridCol w:w="109"/>
        <w:gridCol w:w="109"/>
        <w:gridCol w:w="109"/>
        <w:gridCol w:w="109"/>
        <w:gridCol w:w="280"/>
        <w:gridCol w:w="819"/>
        <w:gridCol w:w="206"/>
      </w:tblGrid>
      <w:tr>
        <w:trPr/>
        <w:tc>
          <w:tcPr>
            <w:tcW w:w="1427"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Starlink pooled data</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2,936 </w:t>
            </w:r>
          </w:p>
        </w:tc>
        <w:tc>
          <w:tcPr>
            <w:tcW w:w="20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prepaid expenses and other current assets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19,770 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1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7,980 </w:t>
            </w:r>
          </w:p>
        </w:tc>
        <w:tc>
          <w:tcPr>
            <w:tcW w:w="2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fourth quarter of 2025, KVH entered into an agreement to purchase a block of Starlink Global Priority data for $45,000. The agreement provided KVH flexibility in the development and sales of custom, cost-effective airtime plans using Starlink's Global Priority service. We made an upfront payment of $5,000 upon entry into the agreement, a payment of $10,000 in January 2026 and payments of $6,000 in each of February 2026 and May 2026. The remaining $18,000 obligation will be paid in three quarterly payments through the first quarter of 2027.</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(8)     Property and Equipment</w:t>
      </w:r>
    </w:p>
    <w:p>
      <w:pPr>
        <w:pStyle w:val="TextBody"/>
        <w:bidi w:val="0"/>
        <w:spacing w:before="0" w:after="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as of June 30, 2026 and December 31, 2025 consist of the following:</w:t>
      </w:r>
    </w:p>
    <w:tbl>
      <w:tblPr>
        <w:tblW w:w="5357" w:type="dxa"/>
        <w:jc w:val="left"/>
        <w:tblInd w:w="0" w:type="dxa"/>
        <w:tblLayout w:type="fixed"/>
        <w:tblCellMar>
          <w:top w:w="28" w:type="dxa"/>
          <w:left w:w="28" w:type="dxa"/>
          <w:bottom w:w="28" w:type="dxa"/>
          <w:right w:w="28" w:type="dxa"/>
        </w:tblCellMar>
      </w:tblPr>
      <w:tblGrid>
        <w:gridCol w:w="971"/>
        <w:gridCol w:w="855"/>
        <w:gridCol w:w="858"/>
        <w:gridCol w:w="211"/>
        <w:gridCol w:w="721"/>
        <w:gridCol w:w="109"/>
        <w:gridCol w:w="109"/>
        <w:gridCol w:w="109"/>
        <w:gridCol w:w="109"/>
        <w:gridCol w:w="253"/>
        <w:gridCol w:w="867"/>
        <w:gridCol w:w="185"/>
      </w:tblGrid>
      <w:tr>
        <w:trPr/>
        <w:tc>
          <w:tcPr>
            <w:tcW w:w="97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26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December 31,</w:t>
              <w:br/>
              <w:t>2025</w:t>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1,036 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2,121 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Revenue-generating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58,118 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Office and computer equipment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69,313 </w:t>
            </w:r>
          </w:p>
        </w:tc>
        <w:tc>
          <w:tcPr>
            <w:tcW w:w="18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(47,854)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(47,281)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22,032 </w:t>
            </w:r>
          </w:p>
        </w:tc>
        <w:tc>
          <w:tcPr>
            <w:tcW w:w="18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Depreciation expense was $2,110 and $2,500 for the three months ended June 30, 2026 and 2025, respectively, and $4,350 and $5,284 for the six months ended June 30,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revenue-generating hardware assets are utilized by the Company in the delivery of the Company's airtime services, media and other content.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long-lived tangible assets related to the Company’s international subsidiaries were less than 10% of the Company’s long-lived tangible assets.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the third quarter of 2024, the Company commenced its plan to sell the warehouse building and surface parking lot located at 75 Enterprise Center in Middletown, Rhode Island (“75 Enterprise Center”). The sale was completed in September 2025. The Company also entered into an agreement with the buyer to lease this property for the period October 2025 through the end of March 2026, which was subsequently extended through April 30, 2026. Total lease expense under this agreement was approximately $200. The Company has now fully migrated its Rhode Island operations to the leased facility located in Bristol, Rhode Island.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in the third quarter of 2024, the Company commenced its plan to sell the property, building, improvements, and land located at 50 Enterprise Center in Middletown, Rhode Island (“50 Enterprise Center”). In March 2025, the Company entered into an agreement with a buyer to sell 50 Enterprise Center for approximately $5,300. The sale was completed in June 2025.</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(9)     Product Warranty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products carry standard limited warranties that range from one to two years and vary by product. The warranty period begins on the date of retail purchase or lease by the original purchaser. The Company also offers extended warranties on its products for up to five years. The Company accrues estimated product warranty costs at the time of sale and any additional amounts are recorded when such costs are probable and can be reasonably estimated. Factors that affect the Company’s warranty liability include the number of units sold or leased, historical and anticipated rates of warranty repairs and the cost per repair. Warranty and related costs are reflected within sales, marketing and support in the accompanying consolidated statements of operations. As of June 30, 2026 and December 31, 2025, the Company had accrued product warranty costs of $656 and $644, respectively.</w:t>
      </w:r>
    </w:p>
    <w:p>
      <w:pPr>
        <w:pStyle w:val="TextBody"/>
        <w:bidi w:val="0"/>
        <w:spacing w:before="0" w:after="0"/>
        <w:ind w:left="0" w:right="0" w:firstLine="540"/>
        <w:jc w:val="left"/>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product warranty activity during 2026 and 2025:</w:t>
      </w:r>
    </w:p>
    <w:p>
      <w:pPr>
        <w:pStyle w:val="TextBody"/>
        <w:bidi w:val="0"/>
        <w:spacing w:lineRule="auto" w:line="288" w:before="0" w:after="0"/>
        <w:jc w:val="left"/>
        <w:rPr>
          <w:color w:val="000000"/>
        </w:rPr>
      </w:pPr>
      <w:r>
        <w:rPr>
          <w:color w:val="000000"/>
        </w:rPr>
        <w:t> </w:t>
      </w:r>
    </w:p>
    <w:tbl>
      <w:tblPr>
        <w:tblW w:w="3639" w:type="dxa"/>
        <w:jc w:val="center"/>
        <w:tblInd w:w="0" w:type="dxa"/>
        <w:tblLayout w:type="fixed"/>
        <w:tblCellMar>
          <w:top w:w="28" w:type="dxa"/>
          <w:left w:w="28" w:type="dxa"/>
          <w:bottom w:w="28" w:type="dxa"/>
          <w:right w:w="28" w:type="dxa"/>
        </w:tblCellMar>
      </w:tblPr>
      <w:tblGrid>
        <w:gridCol w:w="614"/>
        <w:gridCol w:w="539"/>
        <w:gridCol w:w="542"/>
        <w:gridCol w:w="211"/>
        <w:gridCol w:w="466"/>
        <w:gridCol w:w="109"/>
        <w:gridCol w:w="109"/>
        <w:gridCol w:w="109"/>
        <w:gridCol w:w="109"/>
        <w:gridCol w:w="211"/>
        <w:gridCol w:w="466"/>
        <w:gridCol w:w="154"/>
      </w:tblGrid>
      <w:tr>
        <w:trPr/>
        <w:tc>
          <w:tcPr>
            <w:tcW w:w="614"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6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Charges to expense</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incurred</w:t>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656 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828 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(10)     Legal Matters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both"/>
        <w:rPr>
          <w:color w:val="000000"/>
        </w:rPr>
      </w:pPr>
      <w:r>
        <w:rPr>
          <w:color w:val="000000"/>
        </w:rPr>
        <w:t>    </w:t>
      </w:r>
      <w:r>
        <w:rPr>
          <w:rFonts w:ascii="Times New Roman;serif" w:hAnsi="Times New Roman;serif"/>
          <w:b w:val="false"/>
          <w:color w:val="000000"/>
          <w:sz w:val="20"/>
        </w:rPr>
        <w:t>In the ordinary course of business, the Company is a party to inquiries, legal proceedings and claims including, from time to time, disagreements with vendors and customers. The Company is not a party to any lawsuit or proceeding that, in management's opinion, is likely to materially harm the Company's business, results of operations, financial condition, or cash flows.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(11)     Fair Value Measurements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ASC Topic 820, Fair Value Measurements and Disclosures (ASC 820), provides a framework for measuring fair value and requires expanded disclosures regarding fair value measurements. ASC 820 defines fair value as the exchange price that would be received for an asset or paid to transfer a liability (an exit price) in the principal or most advantageous market for the asset or liability in an orderly transaction between market participants on the measurement date. ASC 820 also establishes a fair value hierarchy, which requires an entity to maximize the use of observable inputs and minimize the use of unobservable inputs when measuring fair value. ASC 820 describes three levels of inputs that may be used to measure fair value:</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 xml:space="preserve">Level 1:    Unadjusted quoted prices in active markets that are accessible at the measurement date for identical, unrestricted assets or liabilities. </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 xml:space="preserve">Level 2:    Quoted prices for similar assets or liabilities in active markets; or observable prices that are based on observable market data, based on directly or indirectly market-corroborated inputs. </w:t>
      </w:r>
    </w:p>
    <w:p>
      <w:pPr>
        <w:pStyle w:val="TextBody"/>
        <w:bidi w:val="0"/>
        <w:spacing w:before="0" w:after="0"/>
        <w:ind w:left="0" w:right="0" w:hanging="900"/>
        <w:jc w:val="both"/>
        <w:rPr/>
      </w:pPr>
      <w:r>
        <w:rPr/>
      </w:r>
    </w:p>
    <w:p>
      <w:pPr>
        <w:pStyle w:val="TextBody"/>
        <w:bidi w:val="0"/>
        <w:spacing w:lineRule="auto" w:line="288" w:before="0" w:after="0"/>
        <w:ind w:left="0" w:right="0" w:hanging="900"/>
        <w:jc w:val="both"/>
        <w:rPr>
          <w:rFonts w:ascii="Times New Roman;serif" w:hAnsi="Times New Roman;serif"/>
          <w:b w:val="false"/>
          <w:color w:val="000000"/>
          <w:sz w:val="20"/>
        </w:rPr>
      </w:pPr>
      <w:r>
        <w:rPr>
          <w:rFonts w:ascii="Times New Roman;serif" w:hAnsi="Times New Roman;serif"/>
          <w:b w:val="false"/>
          <w:color w:val="000000"/>
          <w:sz w:val="20"/>
        </w:rPr>
        <w:t xml:space="preserve">Level 3:    Unobservable inputs that are supported by little or no market activity and are developed based on the best information available given the circumstances. </w:t>
      </w:r>
    </w:p>
    <w:tbl>
      <w:tblPr>
        <w:tblW w:w="3330"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financial assets or liabilities were measured at fair value based upon the ASC 820 fair value hierarchy as of June 30, 2026 or December 31, 2025.</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carrying amount of certain financial instruments approximates fair value due to their short-term, highly liquid nature. These instruments include cash and cash equivalents, accounts receivable, accounts payable, and accrued expenses.</w:t>
      </w:r>
    </w:p>
    <w:p>
      <w:pPr>
        <w:pStyle w:val="TextBody"/>
        <w:bidi w:val="0"/>
        <w:spacing w:before="180" w:after="2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pPr>
      <w:r>
        <w:rPr>
          <w:rFonts w:ascii="Times New Roman;serif" w:hAnsi="Times New Roman;serif"/>
          <w:b/>
          <w:i/>
          <w:color w:val="000000"/>
          <w:sz w:val="20"/>
        </w:rPr>
        <w:t>Assets Measured and Recorded at Fair Value on a Nonrecurring Basis</w:t>
      </w:r>
      <w:r>
        <w:rPr>
          <w:color w:val="000000"/>
        </w:rPr>
        <w:t xml:space="preserve"> </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non-financial assets, such as goodwill, intangible assets, and other long-lived assets resulting from business combinations, are measured at fair value using income approach valuation methodologies at the date of acquisition and subsequently re-measured if indications of impairment exist. There was no impairment of the Company's non-financial assets noted during the six months ended June 30, 2026 and 2025. The Company does not have any liabilities that are recorded at fair value on a non-recurring basis.</w:t>
      </w:r>
    </w:p>
    <w:p>
      <w:pPr>
        <w:pStyle w:val="TextBody"/>
        <w:bidi w:val="0"/>
        <w:spacing w:before="0" w:after="0"/>
        <w:ind w:left="0" w:right="0" w:firstLine="5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(12)     Goodwill and Intangible Assets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i/>
          <w:color w:val="000000"/>
          <w:sz w:val="20"/>
        </w:rPr>
      </w:pPr>
      <w:r>
        <w:rPr>
          <w:rFonts w:ascii="Times New Roman;serif" w:hAnsi="Times New Roman;serif"/>
          <w:b w:val="false"/>
          <w:i/>
          <w:color w:val="000000"/>
          <w:sz w:val="20"/>
        </w:rPr>
        <w:t>Intangible Assets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with finite lives and other long-lived assets are reviewed for impairment whenever events or changes in circumstances indicate that the carrying amount of an asset may not be recoverable. Recoverability of intangible assets with finite lives and other long-lived assets is measured by a comparison of the carrying amount of an asset or asset group to future undiscounted cash flows expected to be generated by the asset or asset group. Asset groups are determined at the lowest level for which identifiable cash flows are largely independent of the cash flows of other assets and liabilities. If these comparisons indicate that an asset is not recoverable, the Company will recognize an impairment loss for the amount by which the carrying value of the asset or asset group exceeds its related estimated fair value. The Company has determined that the assets within each of the Company's reporting units (Mobile Broadband (MBB) and KVH Media Group (Media)) are highly interrelated and interdependent on each other to generate revenues, and thus independent cash flows are not identifiable at a level lower than that of these reporting units. Accordingly, the Company's asset groups were determined to be its reporting units (MBB and Media).</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 xml:space="preserve">The changes in the carrying amount of intangible assets during the six months ended June 30, 2026 are as follows: </w:t>
      </w:r>
    </w:p>
    <w:tbl>
      <w:tblPr>
        <w:tblW w:w="5727" w:type="dxa"/>
        <w:jc w:val="left"/>
        <w:tblInd w:w="0" w:type="dxa"/>
        <w:tblLayout w:type="fixed"/>
        <w:tblCellMar>
          <w:top w:w="28" w:type="dxa"/>
          <w:left w:w="28" w:type="dxa"/>
          <w:bottom w:w="28" w:type="dxa"/>
          <w:right w:w="28" w:type="dxa"/>
        </w:tblCellMar>
      </w:tblPr>
      <w:tblGrid>
        <w:gridCol w:w="1386"/>
        <w:gridCol w:w="1218"/>
        <w:gridCol w:w="1221"/>
        <w:gridCol w:w="109"/>
        <w:gridCol w:w="109"/>
        <w:gridCol w:w="109"/>
        <w:gridCol w:w="338"/>
        <w:gridCol w:w="989"/>
        <w:gridCol w:w="248"/>
      </w:tblGrid>
      <w:tr>
        <w:trPr/>
        <w:tc>
          <w:tcPr>
            <w:tcW w:w="1386" w:type="dxa"/>
            <w:tcBorders/>
            <w:vAlign w:val="center"/>
          </w:tcPr>
          <w:p>
            <w:pPr>
              <w:pStyle w:val="TableContents"/>
              <w:bidi w:val="0"/>
              <w:spacing w:before="0" w:after="283"/>
              <w:jc w:val="left"/>
              <w:rPr>
                <w:sz w:val="4"/>
                <w:szCs w:val="4"/>
              </w:rPr>
            </w:pPr>
            <w:r>
              <w:rPr>
                <w:sz w:val="4"/>
                <w:szCs w:val="4"/>
              </w:rPr>
            </w:r>
          </w:p>
        </w:tc>
        <w:tc>
          <w:tcPr>
            <w:tcW w:w="1218" w:type="dxa"/>
            <w:tcBorders/>
            <w:vAlign w:val="center"/>
          </w:tcPr>
          <w:p>
            <w:pPr>
              <w:pStyle w:val="TableContents"/>
              <w:bidi w:val="0"/>
              <w:spacing w:before="0" w:after="283"/>
              <w:jc w:val="left"/>
              <w:rPr>
                <w:sz w:val="4"/>
                <w:szCs w:val="4"/>
              </w:rPr>
            </w:pPr>
            <w:r>
              <w:rPr>
                <w:sz w:val="4"/>
                <w:szCs w:val="4"/>
              </w:rPr>
            </w:r>
          </w:p>
        </w:tc>
        <w:tc>
          <w:tcPr>
            <w:tcW w:w="12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Intangible Assets</w:t>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248"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 acquired in asset acquisition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648 </w:t>
            </w:r>
          </w:p>
        </w:tc>
        <w:tc>
          <w:tcPr>
            <w:tcW w:w="24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5" w:type="dxa"/>
            <w:gridSpan w:val="3"/>
            <w:tcBorders/>
            <w:vAlign w:val="center"/>
          </w:tcPr>
          <w:p>
            <w:pPr>
              <w:pStyle w:val="TableContents"/>
              <w:bidi w:val="0"/>
              <w:spacing w:before="0" w:after="283"/>
              <w:jc w:val="left"/>
              <w:rPr>
                <w:sz w:val="4"/>
                <w:szCs w:val="4"/>
              </w:rPr>
            </w:pPr>
            <w:r>
              <w:rPr>
                <w:sz w:val="4"/>
                <w:szCs w:val="4"/>
              </w:rPr>
            </w:r>
          </w:p>
        </w:tc>
      </w:tr>
      <w:tr>
        <w:trP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 at June 30,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248"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Intangible assets arose from the purchase of the maritime satellite service business of a satellite services provider operating in the Asia-Pacific region in October 2025, the purchase of subscriber relationships in May 2026, the purchase of distribution rights from Kognitive Networks Inc. in October 2023 and the purchase of KVH Industries Norway AS in September 2010. The assets that are related to the purchase of the maritime satellite service business of a satellite services provider are being amortized on a straight-line basis over the estimated useful life of 9 years. The assets that are related to the purchase of customer relationships in May 2026 are being amortized on a straight-line basis over the estimated useful life of 10 years. The assets that are related to the distribution rights from Kognitive Networks are being amortized on a straight-line basis over the estimated useful life of 3 years. The assets related to the purchase of KVH Industries Norway AS for acquired intellectual property are fully amortized.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In January 2017, the Company completed the acquisition of certain subscriber relationships from a third party. This acquisition did not meet the definition of a business under ASC 2017-01, </w:t>
      </w:r>
      <w:r>
        <w:rPr>
          <w:rFonts w:ascii="Times New Roman;serif" w:hAnsi="Times New Roman;serif"/>
          <w:b w:val="false"/>
          <w:i/>
          <w:color w:val="000000"/>
          <w:sz w:val="20"/>
        </w:rPr>
        <w:t>Business Combinations (Topic 805)-Clarifying the Definition of a Business</w:t>
      </w:r>
      <w:r>
        <w:rPr>
          <w:rFonts w:ascii="Times New Roman;serif" w:hAnsi="Times New Roman;serif"/>
          <w:b w:val="false"/>
          <w:color w:val="000000"/>
          <w:sz w:val="20"/>
        </w:rPr>
        <w:t>. The Company ascribed $100 of the initial purchase price to the acquired subscriber relationships definite-lived intangible assets with an initial estimated useful life of 10 years. Under the asset purchase agreement, the purchase price includes a component of contingent consideration under which the Company is required to pay a percentage of recurring revenues received from the acquired subscriber relationships through 2026 up to a maximum annual payment of $114. The amounts payable under the contingent consideration arrangement, if any, will be included in the measurement of the cost of the acquired subscriber relationships.</w:t>
      </w:r>
    </w:p>
    <w:p>
      <w:pPr>
        <w:pStyle w:val="TextBody"/>
        <w:bidi w:val="0"/>
        <w:spacing w:before="0" w:after="0"/>
        <w:ind w:left="0" w:right="0" w:firstLine="45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Acquired intangible assets are subject to amortization. The following table summarizes acquired intangible assets at June 30, 2026 and December 31, 2025, respectively:</w:t>
      </w:r>
    </w:p>
    <w:tbl>
      <w:tblPr>
        <w:tblW w:w="10176" w:type="dxa"/>
        <w:jc w:val="center"/>
        <w:tblInd w:w="0" w:type="dxa"/>
        <w:tblLayout w:type="fixed"/>
        <w:tblCellMar>
          <w:top w:w="28" w:type="dxa"/>
          <w:left w:w="28" w:type="dxa"/>
          <w:bottom w:w="28" w:type="dxa"/>
          <w:right w:w="28" w:type="dxa"/>
        </w:tblCellMar>
      </w:tblPr>
      <w:tblGrid>
        <w:gridCol w:w="1021"/>
        <w:gridCol w:w="898"/>
        <w:gridCol w:w="901"/>
        <w:gridCol w:w="109"/>
        <w:gridCol w:w="109"/>
        <w:gridCol w:w="109"/>
        <w:gridCol w:w="487"/>
        <w:gridCol w:w="1422"/>
        <w:gridCol w:w="251"/>
        <w:gridCol w:w="109"/>
        <w:gridCol w:w="109"/>
        <w:gridCol w:w="109"/>
        <w:gridCol w:w="539"/>
        <w:gridCol w:w="1580"/>
        <w:gridCol w:w="281"/>
        <w:gridCol w:w="109"/>
        <w:gridCol w:w="109"/>
        <w:gridCol w:w="109"/>
        <w:gridCol w:w="390"/>
        <w:gridCol w:w="1140"/>
        <w:gridCol w:w="285"/>
      </w:tblGrid>
      <w:tr>
        <w:trPr/>
        <w:tc>
          <w:tcPr>
            <w:tcW w:w="1021"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4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Gross Carrying 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Accumulated 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Net Carrying Value</w:t>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733 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1,052 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and vendor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3,093 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7,641 </w:t>
            </w:r>
          </w:p>
        </w:tc>
        <w:tc>
          <w:tcPr>
            <w:tcW w:w="25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3,687 </w:t>
            </w:r>
          </w:p>
        </w:tc>
        <w:tc>
          <w:tcPr>
            <w:tcW w:w="28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28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Subscriber relationships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Distribution rights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855 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and vendor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94 </w:t>
            </w:r>
          </w:p>
        </w:tc>
        <w:tc>
          <w:tcPr>
            <w:tcW w:w="2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3,280 </w:t>
            </w:r>
          </w:p>
        </w:tc>
        <w:tc>
          <w:tcPr>
            <w:tcW w:w="2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Intellectual property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2,284 </w:t>
            </w:r>
          </w:p>
        </w:tc>
        <w:tc>
          <w:tcPr>
            <w:tcW w:w="2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15" w:type="dxa"/>
            <w:gridSpan w:val="3"/>
            <w:tcBorders/>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42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6,993 </w:t>
            </w:r>
          </w:p>
        </w:tc>
        <w:tc>
          <w:tcPr>
            <w:tcW w:w="2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3,276 </w:t>
            </w:r>
          </w:p>
        </w:tc>
        <w:tc>
          <w:tcPr>
            <w:tcW w:w="28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40"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3,717 </w:t>
            </w:r>
          </w:p>
        </w:tc>
        <w:tc>
          <w:tcPr>
            <w:tcW w:w="28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Amortization expense related to intangible assets was $206 and $106 for the three months ended June 30, 2026 and 2025, respectively, and $411 and $210 for the six months ended June 30, 2026 and 2025, respectively. Amortization expense was categorized as general and administrative expense.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total weighted average remaining useful lives of the definite-lived intangible assets was 8.1 years.</w:t>
      </w:r>
    </w:p>
    <w:p>
      <w:pPr>
        <w:pStyle w:val="TextBody"/>
        <w:bidi w:val="0"/>
        <w:spacing w:before="100" w:after="283"/>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Estimated future amortization expense for intangible assets recorded by the Company at June 30, 2026 is as follows:</w:t>
      </w:r>
    </w:p>
    <w:tbl>
      <w:tblPr>
        <w:tblW w:w="3466" w:type="dxa"/>
        <w:jc w:val="left"/>
        <w:tblInd w:w="0" w:type="dxa"/>
        <w:tblLayout w:type="fixed"/>
        <w:tblCellMar>
          <w:top w:w="28" w:type="dxa"/>
          <w:left w:w="28" w:type="dxa"/>
          <w:bottom w:w="28" w:type="dxa"/>
          <w:right w:w="28" w:type="dxa"/>
        </w:tblCellMar>
      </w:tblPr>
      <w:tblGrid>
        <w:gridCol w:w="847"/>
        <w:gridCol w:w="744"/>
        <w:gridCol w:w="749"/>
        <w:gridCol w:w="242"/>
        <w:gridCol w:w="707"/>
        <w:gridCol w:w="177"/>
      </w:tblGrid>
      <w:tr>
        <w:trPr/>
        <w:tc>
          <w:tcPr>
            <w:tcW w:w="847"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7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Years ending December 31,</w:t>
            </w:r>
          </w:p>
        </w:tc>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w:t>
              <w:br/>
              <w:t>Expense</w:t>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2026</w:t>
            </w:r>
          </w:p>
        </w:tc>
        <w:tc>
          <w:tcPr>
            <w:tcW w:w="242"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448 </w:t>
            </w:r>
          </w:p>
        </w:tc>
        <w:tc>
          <w:tcPr>
            <w:tcW w:w="17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2027</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2028</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2029</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2030</w:t>
            </w:r>
          </w:p>
        </w:tc>
        <w:tc>
          <w:tcPr>
            <w:tcW w:w="9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Thereafter</w:t>
            </w:r>
          </w:p>
        </w:tc>
        <w:tc>
          <w:tcPr>
            <w:tcW w:w="9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amortization expense</w:t>
            </w:r>
          </w:p>
        </w:tc>
        <w:tc>
          <w:tcPr>
            <w:tcW w:w="24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0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17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erif" w:hAnsi="Times New Roman;serif"/>
          <w:b w:val="false"/>
          <w:i/>
          <w:color w:val="000000"/>
          <w:sz w:val="20"/>
        </w:rPr>
      </w:pPr>
      <w:r>
        <w:rPr>
          <w:rFonts w:ascii="Times New Roman;serif" w:hAnsi="Times New Roman;serif"/>
          <w:b w:val="false"/>
          <w:i/>
          <w:color w:val="000000"/>
          <w:sz w:val="20"/>
        </w:rPr>
        <w:t>Goodwill</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the Company's goodwill is associated with the purchase of the maritime satellite service business of a satellite services provider operating in the Asia-Pacific region in October 2025.</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Goodwill is recorded when the consideration for an acquisition exceeds the fair value of net tangible and identifiable intangible assets acquired. The carrying amount of goodwill remained unchanged during the six months ended June 30, 2026, with a balance of $732.</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(13)     Revenue from Contracts with Customers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accordance with ASC 606, revenue is recognized when a customer obtains control of promised products and services. The amount of revenue recognized reflects the consideration which the Company expects to be entitled to receive in exchange for these products and services.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Disaggregation of Revenue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summarizes net sales from contracts with customers for the three and six months ended June 30, 2026 and 2025:</w:t>
      </w:r>
    </w:p>
    <w:p>
      <w:pPr>
        <w:pStyle w:val="TextBody"/>
        <w:bidi w:val="0"/>
        <w:spacing w:before="0" w:after="0"/>
        <w:ind w:left="0" w:right="0" w:firstLine="540"/>
        <w:jc w:val="both"/>
        <w:rPr/>
      </w:pPr>
      <w:r>
        <w:rPr/>
      </w:r>
    </w:p>
    <w:tbl>
      <w:tblPr>
        <w:tblW w:w="7140" w:type="dxa"/>
        <w:jc w:val="center"/>
        <w:tblInd w:w="0" w:type="dxa"/>
        <w:tblLayout w:type="fixed"/>
        <w:tblCellMar>
          <w:top w:w="28" w:type="dxa"/>
          <w:left w:w="28" w:type="dxa"/>
          <w:bottom w:w="28" w:type="dxa"/>
          <w:right w:w="28" w:type="dxa"/>
        </w:tblCellMar>
      </w:tblPr>
      <w:tblGrid>
        <w:gridCol w:w="706"/>
        <w:gridCol w:w="619"/>
        <w:gridCol w:w="625"/>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 over time</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 - point in time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Times New Roman;serif" w:hAnsi="Times New Roman;serif"/>
                <w:b/>
                <w:color w:val="000000"/>
                <w:sz w:val="20"/>
              </w:rPr>
              <w:t>Total net sales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52,037 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product sales, the delivery of the Company’s performance obligations is generally transferred to the customer, and associated revenue is recognized, at a point in time. For service sales, the delivery of the Company’s performance obligations is transferred to the customer, and associated revenue is recognized, over time. Revenues for these service agreements are recognized over time using an output method based upon the passage of time, as this provides a faithful depiction of the pattern of transfer of control. The Company’s performance is impacted by the levels of activity in the maritime and land mobile markets, among other factors. Performance in any particular period could be impacted by the timing of sales to certain large customers.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offers a comprehensive family of mobile satellite antenna services and products that provide access to the internet, television, and VoIP services while on the move. Service sales of airtime service accounted for 82% and 80% of the Company's consolidated net sales for the three months ended June 30, 2026 and 2025, respectively, and 82% and 80% of the Company's consolidated net sales for the six months ended June 30, 2026 and 2025, respectively. The balance of service sales are comprised of distribution of commercially licensed entertainment and news, product repairs, and extended warranty sales. Product sales accounted for 12% and 13% of the Company's consolidated net sales for the three months ended June 30, 2026 and 2025, respectively, and 12% and 14% of the Company's consolidated net sales for the six months ended June 30,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No other single product class accounts for 10% or more of the Company's consolidated net sales.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operates in a number of major geographic areas, including internationally. Revenues from international locations primarily include Singapore, Canada, South American countries, European Union countries and other European countries, and countries in Africa, the Middle East and Asia/Pacific, including India. Revenues are based upon customer location, and revenues from international locations represented 75% and 78% of consolidated net sales for the three months ended June 30, 2026 and 2025, respectively, and 76% and 79% of consolidated net sales for the six months ended June 30, 2026 and 2025, respectively. Sales to Singapore customers represented 22% and 21% of the Company's consolidated net sales for the three months ended June 30, 2026 and 2025, respectively. No other individual foreign country represented 10% or more of the Company's consolidated net sales for the three months ended June 30, 2026 or 2025. Sales to Singapore customers represented 22% and 22% of the Company's consolidated net sales for the six months ended June 30, 2026 and 2025, respectively. No other individual foreign country represented 10% or more of the Company's consolidated net sales for the six months ended June 30, 2026 or 2025.</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Business and Credit Concentrations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is potentially subject to financial instrument concentration of credit risk through its cash and cash equivalents. To mitigate these risks, the Company maintains cash and cash equivalents with reputable and nationally recognized financial institutions. As of June 30, 2026, substantially all of the cash and cash equivalents were held by Bank of America, N.A.</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Concentrations of risk with respect to trade accounts receivable are generally limited due to the large number of customers and their dispersion across several geographic areas. Although the Company does not foresee that credit risk associated with these receivables will deviate from historical experience, repayment is dependent upon the financial stability of those individual customers. The Company establishes allowances for credit losses and evaluates, on a monthly basis, the adequacy of those reserves based upon expected losses, historical experience and its expectation for future collectability concerns.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shd w:fill="FFFFFF" w:val="clear"/>
        </w:rPr>
        <w:t>No customers</w:t>
      </w:r>
      <w:r>
        <w:rPr>
          <w:color w:val="000000"/>
        </w:rPr>
        <w:t xml:space="preserve"> </w:t>
      </w:r>
      <w:r>
        <w:rPr>
          <w:rFonts w:ascii="Times New Roman;serif" w:hAnsi="Times New Roman;serif"/>
          <w:b w:val="false"/>
          <w:color w:val="000000"/>
          <w:sz w:val="20"/>
        </w:rPr>
        <w:t>accounted for 10% or more of consolidated net sales for the six months ended June 30, 2026. One customer accounted for 12% of consolidated net sales for the six months ended June 30, 2025. No other customers accounted for 10% or more of consolidated net sales for the six months ended June 30, 2025. One customer accounted for approximately 14% and 16% of accounts receivable at June 30, 2026 and December 31, 2025, respectively. One customer accounted for 15% and 29% of long-term accounts receivable included in other non-current assets on the consolidated balance sheets related to sales-type leases at June 30, 2026 and December 31, 2025, respectively.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Certain components from third parties used in the Company’s products are procured from single sources of supply. The failure of a supplier, including a subcontractor, to deliver on schedule could delay or interrupt the Company’s delivery of products and thereby materially adversely affect the Company’s revenues and operating results.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(14)     Income Taxes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effective tax rate for the three and six months ended June 30, 2026 was 55.5% and 30.4%, respectively, compared with 10.1% and (20.0)%, for the three and six months ended June 30, 2025, respectively. The effective income tax rate is based on estimated income for the year, the estimated composition of the income in different jurisdictions and discrete adjustments, if any, in the applicable periods, including retroactive changes in tax legislation, settlements of tax audits or assessments, and the resolution or identification of tax position uncertainties.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three and six months ended June 30, 2026 and 2025, the effective tax rates differed from the statutory tax rate primarily due to the Company maintaining a valuation allowance reserve on its U.S. deferred tax assets, discrete tax adjustments and the composition of income from foreign jurisdictions taxed at lower rates.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As of June 30, 2026 and December 31, 2025, the Company had reserves for uncertain tax positions of $840 and $793, respectively. There were no material changes during the six months ended June 30, 2026 to the Company’s reserve for uncertain tax positions. The Company estimates that it is reasonably possible that the balance of unrecognized tax benefits as of June 30, 2026 may decrease $9 in the next twelve months as a result of a lapse of statutes of limitations and settlements with taxing authorities.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Company’s tax jurisdictions include the United States, the United Kingdom, Denmark, Cyprus, Norway, Brazil, Singapore, Japan and India. In general, the statute of limitations with respect to the Company's United States federal income taxes has expired for years prior to 2022, and the relevant state and foreign statutes vary. However, preceding years remain open to examination by United States federal and state and foreign taxing authorities to the extent of future utilization of net operating losses and research and development tax credits generated in each preceding year.</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4, 2025, the One Big Beautiful Bill Act (“OBBBA”) was enacted in the U.S. The OBBBA makes permanent key elements of the Tax Cuts and Jobs Act, including 100% bonus depreciation, domestic research cost expensing, and the business interest expense limitation. The legislation has multiple effective dates, with certain provisions effective in 2025 and others implemented through 2027. The enactment of the OBBBA did not materially affect the Company's consolidated financial statements.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(15)     Leases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Lessee</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has operating leases for office facilities, equipment, and satellite service capacity and related equipment. Lease expense was $595 and $235 for the three months ended June 30, 2026 and 2025, respectively, and $711 and $506 for the six months ended June 30, 2026 and 2025, respectively. Short-term operating lease costs were $17 and $24 for the three months ended June 30, 2026 and 2025, respectively, and $41 and $46 for the six months ended June 30, 2026 and 2025, respectively. Maturities of lease liabilities as of June 30, 2026 under operating leases having an initial or remaining non-cancelable term of one year or more are as follows:</w:t>
      </w:r>
    </w:p>
    <w:p>
      <w:pPr>
        <w:pStyle w:val="TextBody"/>
        <w:bidi w:val="0"/>
        <w:spacing w:before="0" w:after="0"/>
        <w:ind w:left="0" w:right="0" w:firstLine="540"/>
        <w:jc w:val="both"/>
        <w:rPr/>
      </w:pPr>
      <w:r>
        <w:rPr/>
      </w:r>
    </w:p>
    <w:tbl>
      <w:tblPr>
        <w:tblW w:w="8237" w:type="dxa"/>
        <w:jc w:val="center"/>
        <w:tblInd w:w="0" w:type="dxa"/>
        <w:tblLayout w:type="fixed"/>
        <w:tblCellMar>
          <w:top w:w="28" w:type="dxa"/>
          <w:left w:w="28" w:type="dxa"/>
          <w:bottom w:w="28" w:type="dxa"/>
          <w:right w:w="28" w:type="dxa"/>
        </w:tblCellMar>
      </w:tblPr>
      <w:tblGrid>
        <w:gridCol w:w="2566"/>
        <w:gridCol w:w="2255"/>
        <w:gridCol w:w="2273"/>
        <w:gridCol w:w="211"/>
        <w:gridCol w:w="616"/>
        <w:gridCol w:w="316"/>
      </w:tblGrid>
      <w:tr>
        <w:trPr/>
        <w:tc>
          <w:tcPr>
            <w:tcW w:w="2566"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283"/>
              <w:jc w:val="left"/>
              <w:rPr>
                <w:sz w:val="4"/>
                <w:szCs w:val="4"/>
              </w:rPr>
            </w:pPr>
            <w:r>
              <w:rPr>
                <w:sz w:val="4"/>
                <w:szCs w:val="4"/>
              </w:rPr>
            </w:r>
          </w:p>
        </w:tc>
        <w:tc>
          <w:tcPr>
            <w:tcW w:w="227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971 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868 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vAlign w:val="center"/>
          </w:tcPr>
          <w:p>
            <w:pPr>
              <w:pStyle w:val="TableContents"/>
              <w:bidi w:val="0"/>
              <w:spacing w:before="0" w:after="283"/>
              <w:jc w:val="left"/>
              <w:rPr>
                <w:sz w:val="4"/>
                <w:szCs w:val="4"/>
              </w:rPr>
            </w:pPr>
            <w:r>
              <w:rPr>
                <w:sz w:val="4"/>
                <w:szCs w:val="4"/>
              </w:rPr>
            </w:r>
          </w:p>
        </w:tc>
        <w:tc>
          <w:tcPr>
            <w:tcW w:w="1143" w:type="dxa"/>
            <w:gridSpan w:val="3"/>
            <w:tcBorders/>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 and thereafter</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3,152 </w:t>
            </w:r>
          </w:p>
        </w:tc>
        <w:tc>
          <w:tcPr>
            <w:tcW w:w="3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minimum lease payments</w:t>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5,519 </w:t>
            </w:r>
          </w:p>
        </w:tc>
        <w:tc>
          <w:tcPr>
            <w:tcW w:w="31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amount representing interest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net minimum operating lease payments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current installments of obligation under current-operating lease liabilities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790 </w:t>
            </w:r>
          </w:p>
        </w:tc>
        <w:tc>
          <w:tcPr>
            <w:tcW w:w="31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Obligations under long-term operating lease liabilities, excluding current installments</w:t>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3,865 </w:t>
            </w:r>
          </w:p>
        </w:tc>
        <w:tc>
          <w:tcPr>
            <w:tcW w:w="31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remaining lease term - operating leases (years)</w:t>
            </w:r>
          </w:p>
        </w:tc>
        <w:tc>
          <w:tcPr>
            <w:tcW w:w="11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6.06</w:t>
            </w:r>
          </w:p>
        </w:tc>
      </w:tr>
      <w:tr>
        <w:trPr/>
        <w:tc>
          <w:tcPr>
            <w:tcW w:w="7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discount rate - operating leases</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5.50 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center"/>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July 23, 2025, the Company entered into a new lease agreement for approximately 32,000 square feet of office and warehouse space in Bristol, Rhode Island. The Company has fully migrated its Rhode Island operations to this leased facility. The Company's costs of sales and operational expenditures will include lease expense at the rate of approximately $0.6 million per year. The lease agreement is for a term of 87 months with an option to extend the lease an additional 10 years. This lease agreement resulted in a right of use asset and operating lease liabilities of approximately $3,600 as of June 30, 2026.</w:t>
      </w:r>
    </w:p>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i/>
          <w:color w:val="000000"/>
          <w:sz w:val="20"/>
        </w:rPr>
      </w:pPr>
      <w:r>
        <w:rPr>
          <w:rFonts w:ascii="Times New Roman;serif" w:hAnsi="Times New Roman;serif"/>
          <w:b w:val="false"/>
          <w:i/>
          <w:color w:val="000000"/>
          <w:sz w:val="20"/>
        </w:rPr>
        <w:t>Lessor</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enters into leases with certain customers primarily for the TracNet and TracPhone VSAT systems. These leases are classified as sales-type leases because title to the equipment transfers to the customer at the end of the lease term. The Company records the leases at a price typically equivalent to normal selling price and in excess of the cost or carrying amount. Upon delivery, the Company records the net present value of all payments under these leases as product revenue, and the related costs of the product are charged to cost of sales. Interest income is recognized throughout the lease term (typically three to five years) using an implicit interest rate. The sales-type leases do not have unguaranteed residual assets.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Upon adoption of ASC 842, the Company elected to apply the practical expedient provided to lessors to combine the lease and non-lease component of a contract where the revenue recognition pattern is the same and where the lease component, when accounted for separately, would be considered an operating lease. The practical expedient also allows a lessor to account for the combined lease and non-lease components under ASC 606, Revenue from Contracts with Customers, when the non-lease component is the predominant element of the combined component.</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current portion of the net investment in these leases was $2,748 as of June 30, 2026 and the non-current portion of the net investment in these leases was $2,192 as of June 30, 2026. The current portion of the net investment in the leases is included in accounts receivable, net of allowance for credit losses on the accompanying consolidated balance sheets and the non-current portion of the net investment in these leases is included in other non-current assets on the accompanying consolidated balance sheets. Interest income from sales-type leases was $69 and $101 during the three months ended June 30, 2026 and 2025, respectively, and $159 and $203 during the six months ended June 30, 2026 and 2025, respectively.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future undiscounted cash flows from these leases as of June 30, 2026 are:</w:t>
      </w:r>
    </w:p>
    <w:tbl>
      <w:tblPr>
        <w:tblW w:w="6921" w:type="dxa"/>
        <w:jc w:val="center"/>
        <w:tblInd w:w="0" w:type="dxa"/>
        <w:tblLayout w:type="fixed"/>
        <w:tblCellMar>
          <w:top w:w="28" w:type="dxa"/>
          <w:left w:w="28" w:type="dxa"/>
          <w:bottom w:w="28" w:type="dxa"/>
          <w:right w:w="28" w:type="dxa"/>
        </w:tblCellMar>
      </w:tblPr>
      <w:tblGrid>
        <w:gridCol w:w="2149"/>
        <w:gridCol w:w="1888"/>
        <w:gridCol w:w="1903"/>
        <w:gridCol w:w="211"/>
        <w:gridCol w:w="616"/>
        <w:gridCol w:w="154"/>
      </w:tblGrid>
      <w:tr>
        <w:trPr/>
        <w:tc>
          <w:tcPr>
            <w:tcW w:w="2149" w:type="dxa"/>
            <w:tcBorders/>
            <w:vAlign w:val="center"/>
          </w:tcPr>
          <w:p>
            <w:pPr>
              <w:pStyle w:val="TableContents"/>
              <w:bidi w:val="0"/>
              <w:spacing w:before="0" w:after="283"/>
              <w:jc w:val="left"/>
              <w:rPr>
                <w:sz w:val="4"/>
                <w:szCs w:val="4"/>
              </w:rPr>
            </w:pPr>
            <w:r>
              <w:rPr>
                <w:sz w:val="4"/>
                <w:szCs w:val="4"/>
              </w:rPr>
            </w:r>
          </w:p>
        </w:tc>
        <w:tc>
          <w:tcPr>
            <w:tcW w:w="1888" w:type="dxa"/>
            <w:tcBorders/>
            <w:vAlign w:val="center"/>
          </w:tcPr>
          <w:p>
            <w:pPr>
              <w:pStyle w:val="TableContents"/>
              <w:bidi w:val="0"/>
              <w:spacing w:before="0" w:after="283"/>
              <w:jc w:val="left"/>
              <w:rPr>
                <w:sz w:val="4"/>
                <w:szCs w:val="4"/>
              </w:rPr>
            </w:pPr>
            <w:r>
              <w:rPr>
                <w:sz w:val="4"/>
                <w:szCs w:val="4"/>
              </w:rPr>
            </w:r>
          </w:p>
        </w:tc>
        <w:tc>
          <w:tcPr>
            <w:tcW w:w="190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Remainder of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82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2030</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undiscounted cash flows</w:t>
            </w:r>
          </w:p>
        </w:tc>
        <w:tc>
          <w:tcPr>
            <w:tcW w:w="211"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5,264 </w:t>
            </w:r>
          </w:p>
        </w:tc>
        <w:tc>
          <w:tcPr>
            <w:tcW w:w="154" w:type="dxa"/>
            <w:tcBorders>
              <w:top w:val="single" w:sz="8" w:space="0" w:color="000000"/>
            </w:tcBorders>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Present value of lease payments</w:t>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4,940 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Difference between undiscounted cash flows and discounted cash flows </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(16)     Restructuring</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February 9, 2024, the Board of Directors of the Company voted to implement a staged wind-down of the Company’s manufacturing activities. The Board made this determination following a strategic review of the Company’s manufacturing operations, driven by reduced demand for the Company’s hardware products in the face of intensifying competition during the third and fourth quarters of 2023. The Board concluded that the Company should discontinue its capital-intensive manufacturing activities and concentrate its efforts on growing sales of its multi-orbit, multi-channel, integrated communications solutions, which in recent years have constituted the largest portion of the Company’s overall revenues.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expects that it will continue its product manufacturing activities for the next six months in order to generate a targeted amount of inventory of maritime satellite connectivity and satellite television terminals to meet anticipated demand and that it will cease substantially all manufacturing activity by the end of 2026. The Company expects to continue to facilitate customer transition to third-party hardware products compatible with the Company’s mobile satellite communications services. The Company also plans to continue to conduct maintenance, refurbishment service, warehousing, shipping and receiving activities at our Bristol, Rhode Island location.</w:t>
      </w:r>
    </w:p>
    <w:p>
      <w:pPr>
        <w:pStyle w:val="TextBody"/>
        <w:bidi w:val="0"/>
        <w:spacing w:before="0" w:after="0"/>
        <w:ind w:left="0" w:right="0" w:firstLine="540"/>
        <w:jc w:val="both"/>
        <w:rPr/>
      </w:pPr>
      <w:r>
        <w:rPr/>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(17)     Segment Information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Company manages its operations as a single operating segment for the purpose of assessing performance and making operating decisions, resulting in a single reportable segment. The Company has determined that its Chief Operating Decision Maker (CODM) is its Chief Executive Officer. The CODM reviews the Company’s financial information on a consolidated basis for the purpose of allocating resources and assessing financial performance.</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key measure of segment profit or loss that the CODM uses to allocate resources and assess performance is the Company’s consolidated net income (loss). This is reviewed against budgeted expectations to assess segment performance and allocate resources. The Company’s segment net income for the three and six months ended June 30, 2026 and 2025 consisted of the following:</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before="0" w:after="0"/>
        <w:jc w:val="left"/>
        <w:rPr/>
      </w:pPr>
      <w:r>
        <w:rPr/>
      </w:r>
    </w:p>
    <w:tbl>
      <w:tblPr>
        <w:tblW w:w="7769" w:type="dxa"/>
        <w:jc w:val="left"/>
        <w:tblInd w:w="0" w:type="dxa"/>
        <w:tblLayout w:type="fixed"/>
        <w:tblCellMar>
          <w:top w:w="28" w:type="dxa"/>
          <w:left w:w="28" w:type="dxa"/>
          <w:bottom w:w="28" w:type="dxa"/>
          <w:right w:w="28" w:type="dxa"/>
        </w:tblCellMar>
      </w:tblPr>
      <w:tblGrid>
        <w:gridCol w:w="928"/>
        <w:gridCol w:w="817"/>
        <w:gridCol w:w="834"/>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28"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service sales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VSAT airtime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LEO airtime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(1)</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37,452 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28,445 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Cost of product sales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VSAT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LEO</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TracVision &amp; land mobile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(2)</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Research and development</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(3)</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Sales, marketing and support</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(4)</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10,306 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9,970 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General and administrative</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Personnel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fees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(5)</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4,363 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7,115 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Other segment items (6)</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income (loss)</w:t>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(780)</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56" w:before="0" w:after="0"/>
        <w:ind w:left="0" w:right="0" w:hanging="360"/>
        <w:jc w:val="both"/>
        <w:rPr>
          <w:rFonts w:ascii="Times New Roman;serif" w:hAnsi="Times New Roman;serif"/>
          <w:b w:val="false"/>
          <w:color w:val="000000"/>
          <w:sz w:val="20"/>
        </w:rPr>
      </w:pPr>
      <w:r>
        <w:rPr>
          <w:rFonts w:ascii="Times New Roman;serif" w:hAnsi="Times New Roman;serif"/>
          <w:b w:val="false"/>
          <w:color w:val="000000"/>
          <w:sz w:val="20"/>
        </w:rPr>
        <w:t>(1)Includes costs related to Viasat/Inmarsat, service activations, content service, CommBox Edge and other miscellaneous</w:t>
      </w:r>
    </w:p>
    <w:p>
      <w:pPr>
        <w:pStyle w:val="TextBody"/>
        <w:bidi w:val="0"/>
        <w:spacing w:lineRule="auto" w:line="25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(2)Includes costs related to CommBox Edge, TracNet Coastal, obsolete inventory write-off and other miscellaneous</w:t>
      </w:r>
    </w:p>
    <w:p>
      <w:pPr>
        <w:pStyle w:val="TextBody"/>
        <w:bidi w:val="0"/>
        <w:spacing w:lineRule="auto" w:line="25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(3)Includes facilities and other less significant expenses</w:t>
      </w:r>
    </w:p>
    <w:p>
      <w:pPr>
        <w:pStyle w:val="TextBody"/>
        <w:bidi w:val="0"/>
        <w:spacing w:lineRule="auto" w:line="25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(4)Includes marketing expenses, external commissions, travel and entertainment, facilities expenses, warranty expenses and other less significant expenses</w:t>
      </w:r>
    </w:p>
    <w:p>
      <w:pPr>
        <w:pStyle w:val="TextBody"/>
        <w:bidi w:val="0"/>
        <w:spacing w:lineRule="auto" w:line="25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(5)Includes the financing fees, facilities expenses, computer expenses, depreciation and amortization and other less significant expenses</w:t>
      </w:r>
    </w:p>
    <w:p>
      <w:pPr>
        <w:pStyle w:val="TextBody"/>
        <w:bidi w:val="0"/>
        <w:spacing w:lineRule="auto" w:line="256"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(6)Other segment items includes interest income; other income (expense), net; and income tax expense (benefit) line items on the face of the income statement</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Regarding the Company's long-lived assets of $25,507 for the period ended June 30, 2026, $10,432 of these assets are located inside of the United States. Regarding the assets located outside of the United States, $5,009 are located in Singapore. The geographic location of the Company's AgilePlans revenue-generating assets has been determined based upon the customer shipping address.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Regarding the Company's long-lived assets of $26,414 for the period ended December 31, 2025, $8,788 of these assets are located in the United States. Regarding the assets located outside the United States, $5,612 are located in Singapore. The geographic location of the Company's AgilePlans revenue-generating assets has been determined based upon the customer shipping address.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(18)     Share Buyback Program</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9, 2024, the Board of Directors of the Company authorized a share repurchase program pursuant to which the Company may purchase outstanding shares of the Company’s common stock for an aggregate purchase price of up to $10.0 million. On March 6, 2026, the Board of Directors of our Company authorized an increase in the size of the repurchase program from $10.0 million to $15.0 million.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program, the Company, at management’s discretion, may repurchase shares from time to time through various means, including on the open market, in privately negotiated transactions or block transactions, or through an accelerated repurchase agreement. The Company may elect to make purchases under Rule 10b-18 under the Securities Exchange Act of 1934, as amended, which imposes certain volume limitations, and/or under Rule 10b5-1 under that act, which would permit repurchases to occur during periods when the Company might otherwise be precluded from making purchases under insider trading laws or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the Company to repurchase any minimum number or dollar amount of shares, and the program may be modified, suspended or terminated at any time without prior notice.</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the Company repurchased 254 thousand shares of common stock in open market transactions at a cost of approximately $2.3 million. During the six months ended June 30, 2026, the Company repurchased 288 thousand shares of common stock in open market transactions at a cost of approximately $2.5 million. Except as noted above, there were no other repurchase programs outstanding.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(19)     Business Combination</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October 8, 2025 (the “Closing Date”), the Company entered into an agreement to purchase the maritime satellite service business of a satellite services provider operating in the Asia-Pacific region (the “Seller”). The transfer of control from the Seller to the Company is referred to as the “Acquisition”. The Acquisition was consummated on the Closing Date. The Acquisition was funded from existing cash of the Company.</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connection with the acquisition, a subsidiary of the Company made offers of employment to eleven employees of the Seller, all of which were accepted. The Company also entered into transition arrangements with the Seller to facilitate the orderly transfer of the business. The transfer of certain agreements requires the consent of the counterparty. The Company expects that, if consent is not obtained, the Company and the Seller will fulfill those agreements through subcontracting arrangements, where permitted. The agreements remain terminable in accordance with their terms, and the unanticipated termination of any of the agreements may prevent the Company from realizing some or all of the anticipated benefits of the acquisition.</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pStyle w:val="TextBody"/>
        <w:bidi w:val="0"/>
        <w:spacing w:lineRule="auto" w:line="288" w:before="180" w:after="283"/>
        <w:jc w:val="left"/>
        <w:rPr>
          <w:rFonts w:ascii="Times New Roman;serif" w:hAnsi="Times New Roman;serif"/>
          <w:b/>
          <w:i/>
          <w:color w:val="000000"/>
          <w:sz w:val="20"/>
        </w:rPr>
      </w:pPr>
      <w:r>
        <w:rPr>
          <w:rFonts w:ascii="Times New Roman;serif" w:hAnsi="Times New Roman;serif"/>
          <w:b/>
          <w:i/>
          <w:color w:val="000000"/>
          <w:sz w:val="20"/>
        </w:rPr>
        <w:t>Introduction</w:t>
      </w:r>
    </w:p>
    <w:p>
      <w:pPr>
        <w:pStyle w:val="TextBody"/>
        <w:bidi w:val="0"/>
        <w:spacing w:before="0" w:after="0"/>
        <w:jc w:val="left"/>
        <w:rPr/>
      </w:pPr>
      <w:r>
        <w:rPr/>
      </w:r>
    </w:p>
    <w:p>
      <w:pPr>
        <w:pStyle w:val="TextBody"/>
        <w:bidi w:val="0"/>
        <w:spacing w:lineRule="auto" w:line="276" w:before="0" w:after="0"/>
        <w:ind w:left="0" w:right="0" w:firstLine="540"/>
        <w:jc w:val="both"/>
        <w:rPr>
          <w:rFonts w:ascii="Times New Roman;serif" w:hAnsi="Times New Roman;serif"/>
          <w:b w:val="false"/>
          <w:i/>
          <w:color w:val="000000"/>
          <w:sz w:val="20"/>
        </w:rPr>
      </w:pPr>
      <w:r>
        <w:rPr>
          <w:rFonts w:ascii="Times New Roman;serif" w:hAnsi="Times New Roman;serif"/>
          <w:b w:val="false"/>
          <w:i/>
          <w:color w:val="000000"/>
          <w:sz w:val="20"/>
        </w:rPr>
        <w:t>The statements included in this quarterly report on Form 10-Q, other than statements of historical fact, are forward-looking statements. Examples of forward-looking statements include statements regarding our future financial results, operating results, business strategies, projected costs, products and services, competitive positions and plans, customer preferences, consumer trends, anticipated product development, and objectives of management for future operations. In some cases, forward-looking statements can be identified by terminology such as “may,” “will,” “should,” “would,” “expects,” “plans,” “anticipates,” “believes,” “estimates,” “predicts,” “potential,” “continue,” or the negative of these terms or other comparable terminology. Any expectations based on these forward-looking statements are subject to risks and uncertainties and other important factors, including those discussed in the section entitled “Risk Factors” in Item 1A of Part I of our Form 10-K for the year ended December 31, 2025. These and many other factors could affect our future financial and operating results and could cause actual results to differ materially from expectations based on forward-looking statements made in this document or elsewhere by us or on our behalf. For example, our expectations regarding certain items as a percentage of sales assume that we will achieve our anticipated sales goals. The following discussion and analysis should be read in conjunction with our consolidated interim financial statements and related notes appearing elsewhere in this report.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are a leading global provider of innovative and technology-driven connectivity solutions to primarily maritime commercial and leisure customers. We provide global high-speed internet and Voice over Internet Protocol (VoIP) services via satellite to mobile users at sea and on land. We are also a leading provider of commercially licensed entertainment, including movies, television programming, news, and music, to commercial customers in the maritime market, along with supplemental value-added cybersecurity, email, and crew internet services.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We generate a substantial majority of our revenues from sales of satellite internet airtime services. We provide, for monthly fixed fees and per-usage fees, satellite connectivity encompassing broadband internet, data and VoIP services, to customers via our KVH ONE hybrid network, which integrates global satellite service (including Starlink, Ku-band VSAT using the SES HTS network, Eutelsat OneWeb, Viasat/Inmarsat, Iridium, and other satellite services), KVH-provided cellular service in more than 130 countries, and shore-based Wi-Fi access. In March 2023, we began selling Starlink terminals and, in September 2023, we became a Starlink authorized hardware and airtime reseller offering Global Priority data plans for maritime use. In October 2024, we expanded our portfolio to include Starlink Local Priority data plans, which is suitable for fixed and mobile uses on land and inland waterways, including lakes and rivers. In 2025, Starlink products and services were our fastest growing products and services. We are also now earning usage fees from our offering of Eutelsat OneWeb maritime service, which we launched in January 2025. Revenue from our cellular airtime service supplements our satellite-only airtime revenue. In addition, we earn monthly usage fees from sales of third-party satellite connectivity for VoIP and supplemental services to our Viasat/Inmarsat, Iridium, Starlink and Eutelsat OneWeb customers. In December 2024, we introduced our TracNet Coastal and TracNet Coastal Pro terminals, expanding our extensive multi-channel portfolio of maritime products and services with a standalone 5G/cellular and Wi-Fi system. We also generate service revenue from product repairs and extended warranty sales.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service sales also include the distribution of entertainment, including movies, television programming, news and music, to commercial customers in the maritime market through KVH Media Group, along with supplemental value-added services.</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Historically, our Ku-band VSAT communications service was the primary driver of revenue growth. However, in recent years these services have represented a declining percentage of our revenues in the face of increased demand for and competition from emerging LEO services. Our satellite-only and hybrid products enable maritime customers to receive data, VoIP, and value-added services via satellite, cellular, and shore-based Wi-Fi networks onboard commercial and leisure vessels. In addition, our in-motion television terminals permit customers to receive live digital television via regional satellite services on maritime vessels. We sell our products through an extensive international network of dealers and distributors. We also sell and lease products to service providers and end users.</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 February 2024, we announced a staged wind-down of our product manufacturing operations. The wind-down was driven by reduced demand for our hardware products in the face of intensifying competition in the third and fourth quarters of 2023. We concluded that we should discontinue our capital-intensive manufacturing activities and concentrate our efforts on growing sales of our multi-orbit, multi-channel, integrated communications solutions. We expect that we will continue our product manufacturing activities in order to generate a targeted amount of inventory of maritime satellite connectivity and satellite television terminals to meet anticipated demand and that we will cease substantially all manufacturing activity by the end of 2026. This wind-down has been extended because our reduced workforce has been prioritizing fulfilling LEO product orders and refurbishing AgilePlans terminals over manufacturing new units. We expect to continue to facilitate customer transition to third-party hardware products compatible with our mobile satellite communications services. We also plan to continue to conduct maintenance, service, warehousing, shipping and receiving activities at our Bristol, Rhode Island location.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second quarter of 2024, we expanded our relationship with Starlink through a bulk data distribution agreement. Under the agreement, we prepaid $17.0 million for access to a large block of Starlink Global Priority data at favorable rates. The agreement provided us flexibility in the development and sale of custom airtime plans using Starlink’s Global Priority service. We began drawing from this prepaid pooled data in the third quarter of 2024 and this data was fully consumed by the end of 2025. In the fourth quarter of 2025, we entered into an agreement to purchase a substantially larger block of Starlink Global Priority data. We made a prepayment of $5.0 million related to this agreement in the fourth quarter of 2025, an additional payment of $10.0 million in January 2026 and payments of $6.0 million in each of February 2026 and May 2026. We must pay the remaining balance of $18.0 million in three quarterly payments through the first quarter of 2027.</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third quarter of 2024, we commenced our plan to sell the warehouse building and surface parking lot located at 75 Enterprise Center in Middletown, Rhode Island (“75 Enterprise Center”). In December 2024, we entered into an agreement to sell 75 Enterprise Center for $8.5 million. The sale was completed in September 2025. We also entered into an agreement with the buyer to lease this property for the period October 2025 through the end of March 2026, which was subsequently extended through April 30, 2026. Total lease expense under this agreement was $0.2 million. The Company has fully migrated its Rhode Island operations to the leased facility located in Bristol, Rhode Island.</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Additionally, in the third quarter of 2024, we commenced our plan to sell the property, building, improvements, and land located at 50 Enterprise Center in Middletown, Rhode Island (“50 Enterprise Center”). In March 2025, we entered into an agreement with another buyer to sell 50 Enterprise Center for $5.3 million. The sale was completed in June 2025.</w:t>
      </w:r>
    </w:p>
    <w:p>
      <w:pPr>
        <w:pStyle w:val="TextBody"/>
        <w:bidi w:val="0"/>
        <w:spacing w:before="0" w:after="0"/>
        <w:jc w:val="both"/>
        <w:rPr/>
      </w:pPr>
      <w:r>
        <w:rPr/>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Critical Accounting Estimates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discussion and analysis of our financial condition and results of operations are based upon our consolidated interim financial statements, which have been prepared in accordance with accounting principles generally accepted in the United States of America. The preparation of these interim financial statements requires us to make estimates and judgments that affect the reported amounts of assets and liabilities, revenues and expenses, and related disclosure at the date of our interim financial statements. Our significant accounting policies are summarized in Note 1 to the consolidated financial statements in our annual report on Form 10-K for the year ended December 31, 2025.</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Critical accounting estimates are those estimates made that involve a significant level of estimation uncertainty and have had or are reasonably likely to have an impact on our statement of operations. We believe that our accounting estimates for goodwill, intangible assets and other long-lived assets are the only estimates critical to an understanding and evaluation of our financial results for the six months ended June 30, 2026, as discussed below.</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180" w:after="12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for the periods indicated, certain financial data relating to our operations expressed as a percentage of net sales:</w:t>
      </w:r>
    </w:p>
    <w:tbl>
      <w:tblPr>
        <w:tblW w:w="8576" w:type="dxa"/>
        <w:jc w:val="left"/>
        <w:tblInd w:w="0" w:type="dxa"/>
        <w:tblLayout w:type="fixed"/>
        <w:tblCellMar>
          <w:top w:w="28" w:type="dxa"/>
          <w:left w:w="28" w:type="dxa"/>
          <w:bottom w:w="28" w:type="dxa"/>
          <w:right w:w="28" w:type="dxa"/>
        </w:tblCellMar>
      </w:tblPr>
      <w:tblGrid>
        <w:gridCol w:w="1223"/>
        <w:gridCol w:w="1079"/>
        <w:gridCol w:w="1102"/>
        <w:gridCol w:w="352"/>
        <w:gridCol w:w="264"/>
        <w:gridCol w:w="389"/>
        <w:gridCol w:w="156"/>
        <w:gridCol w:w="156"/>
        <w:gridCol w:w="156"/>
        <w:gridCol w:w="352"/>
        <w:gridCol w:w="264"/>
        <w:gridCol w:w="389"/>
        <w:gridCol w:w="109"/>
        <w:gridCol w:w="109"/>
        <w:gridCol w:w="109"/>
        <w:gridCol w:w="325"/>
        <w:gridCol w:w="291"/>
        <w:gridCol w:w="337"/>
        <w:gridCol w:w="135"/>
        <w:gridCol w:w="135"/>
        <w:gridCol w:w="135"/>
        <w:gridCol w:w="325"/>
        <w:gridCol w:w="291"/>
        <w:gridCol w:w="393"/>
      </w:tblGrid>
      <w:tr>
        <w:trPr/>
        <w:tc>
          <w:tcPr>
            <w:tcW w:w="1223"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3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Six Months Ended</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June 30,</w:t>
            </w:r>
          </w:p>
        </w:tc>
      </w:tr>
      <w:tr>
        <w:trPr/>
        <w:tc>
          <w:tcPr>
            <w:tcW w:w="3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86.6 </w:t>
            </w:r>
          </w:p>
        </w:tc>
        <w:tc>
          <w:tcPr>
            <w:tcW w:w="3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87.6 </w:t>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85.9 </w:t>
            </w:r>
          </w:p>
        </w:tc>
        <w:tc>
          <w:tcPr>
            <w:tcW w:w="3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sales</w:t>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8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37"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100.0 </w:t>
            </w:r>
          </w:p>
        </w:tc>
        <w:tc>
          <w:tcPr>
            <w:tcW w:w="393"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and expenses:</w:t>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service sales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56.7 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54.7 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of product sales</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Sales, marketing and support</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100.3 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105.1 </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1.7 </w:t>
            </w:r>
          </w:p>
        </w:tc>
        <w:tc>
          <w:tcPr>
            <w:tcW w:w="3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3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3"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009" w:type="dxa"/>
            <w:gridSpan w:val="3"/>
            <w:tcBorders/>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 income, net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(0.3)</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(loss) before income tax expense</w:t>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38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1.6 </w:t>
            </w:r>
          </w:p>
        </w:tc>
        <w:tc>
          <w:tcPr>
            <w:tcW w:w="33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393"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tax expense</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0.6 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0.4 </w:t>
            </w:r>
          </w:p>
        </w:tc>
        <w:tc>
          <w:tcPr>
            <w:tcW w:w="38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(loss)</w:t>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0.5 </w:t>
            </w:r>
          </w:p>
        </w:tc>
        <w:tc>
          <w:tcPr>
            <w:tcW w:w="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3.6 </w:t>
            </w:r>
          </w:p>
        </w:tc>
        <w:tc>
          <w:tcPr>
            <w:tcW w:w="38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3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4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w:t>
            </w:r>
          </w:p>
        </w:tc>
        <w:tc>
          <w:tcPr>
            <w:tcW w:w="39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 xml:space="preserve">Three months ended June 30, 2026 and 2025 </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Our net sales for the three months ended June 30, 2026 and 2025 were as follows: </w:t>
      </w:r>
    </w:p>
    <w:tbl>
      <w:tblPr>
        <w:tblW w:w="6267" w:type="dxa"/>
        <w:jc w:val="center"/>
        <w:tblInd w:w="0" w:type="dxa"/>
        <w:tblLayout w:type="fixed"/>
        <w:tblCellMar>
          <w:top w:w="28" w:type="dxa"/>
          <w:left w:w="28" w:type="dxa"/>
          <w:bottom w:w="28" w:type="dxa"/>
          <w:right w:w="28" w:type="dxa"/>
        </w:tblCellMar>
      </w:tblPr>
      <w:tblGrid>
        <w:gridCol w:w="308"/>
        <w:gridCol w:w="271"/>
        <w:gridCol w:w="275"/>
        <w:gridCol w:w="275"/>
        <w:gridCol w:w="943"/>
        <w:gridCol w:w="142"/>
        <w:gridCol w:w="142"/>
        <w:gridCol w:w="142"/>
        <w:gridCol w:w="142"/>
        <w:gridCol w:w="275"/>
        <w:gridCol w:w="943"/>
        <w:gridCol w:w="142"/>
        <w:gridCol w:w="109"/>
        <w:gridCol w:w="109"/>
        <w:gridCol w:w="109"/>
        <w:gridCol w:w="211"/>
        <w:gridCol w:w="616"/>
        <w:gridCol w:w="109"/>
        <w:gridCol w:w="109"/>
        <w:gridCol w:w="109"/>
        <w:gridCol w:w="109"/>
        <w:gridCol w:w="180"/>
        <w:gridCol w:w="181"/>
        <w:gridCol w:w="316"/>
      </w:tblGrid>
      <w:tr>
        <w:trPr/>
        <w:tc>
          <w:tcPr>
            <w:tcW w:w="30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three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0"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vs. 2025</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0"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1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i/>
                <w:color w:val="000000"/>
                <w:sz w:val="20"/>
              </w:rPr>
            </w:pPr>
            <w:r>
              <w:rPr>
                <w:rFonts w:ascii="Times New Roman;serif" w:hAnsi="Times New Roman;serif"/>
                <w:b/>
                <w:i/>
                <w:color w:val="000000"/>
                <w:sz w:val="20"/>
              </w:rPr>
              <w:t>(dollars in thousands)</w:t>
            </w:r>
          </w:p>
        </w:tc>
      </w:tr>
      <w:tr>
        <w:trPr/>
        <w:tc>
          <w:tcPr>
            <w:tcW w:w="854"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3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29,711 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23,049 </w:t>
            </w:r>
          </w:p>
        </w:tc>
        <w:tc>
          <w:tcPr>
            <w:tcW w:w="1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Product</w:t>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33,723 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4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26,623 </w:t>
            </w:r>
          </w:p>
        </w:tc>
        <w:tc>
          <w:tcPr>
            <w:tcW w:w="14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7,100 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sales increased by $7.1 million, or 27%, for the three months ended June 30, 2026 as compared to the three months ended June 30, 2025. Service sales increased by $6.7 million, or 29%, to $29.7 million for the three months ended June 30, 2026 from $23.0 million for the three months ended June 30, 2025. The increase in service sales was primarily due to a $6.6 million increase in our airtime service sales, which reflected a substantial increase in LEO service sales driven by an increase in subscribers for both Starlink and OneWeb. This increase in LEO service sales was partially offset by a substantial decrease in VSAT service sales, which was driven primarily by a decrease in VSAT subscribers. For the three months ended June 30, 2026, LEO services sales represented over 55% of airtime services sales, as compared to less than 32% for the three months ended June 30, 2025. The increase in LEO service sales as a percentage of total airtime sales resulted from both the substantial increase in LEO service sales and the substantial decrease in VSAT service sales. Competing LEO service providers have continued to expand their product and service offerings, further heightening competition in the global leisure segment and in commercial markets.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51155"/>
                <wp:effectExtent l="0" t="0" r="0" b="0"/>
                <wp:wrapNone/>
                <wp:docPr id="26" name="Frame2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Product sales increased by $0.4 million, or 12%, to $4.0 million for the three months ended June 30, 2026 from $3.6 million for the three months ended June 30, 2025. The increase in product sales was primarily due to a $0.7 million increase in Starlink product sales and a $0.3 million increase in OneWeb product sales, partially offset by a $0.5 million decrease in TracVision product sales and a $0.2 million decrease in VSAT Broadband product sales. Competition from low-cost alternatives to VSAT, which include streaming capabilities, has had a significant impact on sales of our TracVision products.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Costs of Sales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Costs of sales consists of costs of service sales and costs of product sales. Costs of sales increased by $5.9 million, or 34%, in the three months ended June 30, 2026 to $23.4 million from $17.5 million in the three months ended June 30, 2025. The increase in costs of sales was driven by a $1.0 million increase in costs of product sales and a $4.9 million increase in costs of service sales. As a percentage of net sales, costs of sales were 69% and 66% for the three months ended June 30, 2026 and 2025, respectively.</w:t>
      </w:r>
    </w:p>
    <w:p>
      <w:pPr>
        <w:pStyle w:val="TextBody"/>
        <w:bidi w:val="0"/>
        <w:spacing w:before="0" w:after="0"/>
        <w:ind w:left="0" w:right="0" w:firstLine="54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costs of service sales consist primarily of satellite service capacity, depreciation, service network overhead expense associated with our VSAT Broadband network infrastructure, direct network service labor, product installation costs, media materials and distribution costs, and service repair materials. For the three months ended June 30, 2026, costs of service sales increased by $4.9 million, or 34%, to $19.1 million from $14.2 million in the three months ended June 30, 2025, primarily due to a $4.6 million increase in airtime costs of service sales. As a percentage of service sales, costs of service sales were 64% and 62% for the three months ended June 30,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costs of product sales consist primarily of materials, manufacturing overhead, and direct labor used to produce our products. For the three months ended June 30, 2026, costs of product sales increased by $1.0 million, or 31%, to $4.3 million from $3.3 million in the three months ended June 30, 2025, primarily due to a $0.7 million increase in various manufacturing and other unabsorbed expenses, a $0.7 million increase in Starlink cost of product sales and a $0.2 million increase in OneWeb cost of product sales, partially offset by a $0.4 million decrease in TracVision cost of product sales and a $0.1 million decrease in accessories and other cost of product sales. As a percentage of product sales, costs of product sales were 107% and 92% for the three months ended June 30, 2026 and 2025, respectively. Cost of product sales increased as a percentage of product sales primarily due to the increase in various manufacturing and other unabsorbed expenses.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consists of direct labor, materials, external consultants, and related overhead costs that support our internally funded product development and product sustaining engineering activities. Research and development expense for the three months ended June 30, 2026 decreased by $0.1 million, or 12%, to $0.8 million from $0.9 million for the three months ended June 30, 2025. The decrease in research and development expense resulted primarily from a $0.2 million decrease in salaries, benefits and taxes. As a percentage of net sales, research and development expense was 2% and 3% for the three months ended June 30,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marketing, and support expense consists primarily of salaries and related expenses for sales and marketing personnel, commissions for both in-house and third-party representatives, costs related to the co-development of certain content, other sales and marketing support costs such as advertising, literature and promotional materials, product service personnel and support costs, warranty-related costs and bad debt expense. Sales, marketing and support expense also includes the operating expenses of our sales office subsidiaries in Denmark, Singapore, Brazil, and Japan. Sales, marketing and support expense for the three months ended June 30, 2026 were $5.2 million, an increase of $0.2 million, or 5%, from $5.0 million for the three months ended June 30, 2025. The increase in sales, marketing and support expense resulted primarily from a $0.2 million increase in salaries, benefits and taxes, a $0.2 million increase in finance and insurance expense, and a $0.1 million increase in facilities expense, partially offset by a $0.3 million decrease in warranty expense. As a percentage of net sales, sales, marketing and support expense was 16% and 19% for the three months ended June 30, 2026 and 2025, respectively.</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51155"/>
                <wp:effectExtent l="0" t="0" r="0" b="0"/>
                <wp:wrapNone/>
                <wp:docPr id="27" name="Frame27"/>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consists of costs attributable to management, finance and accounting, information technology, human resources, certain outside professional services, and other administrative costs. General and administrative expense for the three months ended June 30, 2026 increased by $0.8 million, or 22%, to $4.4 million from $3.6 million for the three months ended June 30, 2025. The increase in general and administrative expense resulted primarily from a $0.4 million increase in professional fees, a $0.3 million increase in salaries, benefits and taxes and a $0.1 million increase in computer software and maintenance expenses, partially offset by a $0.2 million decrease in facilities expense. As a percentage of net sales, general and administrative expense was 13% for each of the three months ended June 30, 2026 and 2025.</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and Other Income, Net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income represents interest earned on our cash and cash equivalents, as well as from investments and our sale-type lease receivables. Interest income decreased slightly to $0.5 million for the three months ended June 30, 2026 from $0.6 million for the three months ended June 30, 2025. Of the current period interest income of $0.5 million, $0.5 million is attributable to interest earned on cash and cash equivalents, while $0.1 million was attributable to interest from lease receivables. Other expense, net changed by $0.9 million to other expense, net of $0.1 million for the three months ended June 30, 2026 from other income, net of $0.8 million for the three months ended June 30, 2025. This change was driven primarily by a $1.3 million gain on the sale of 50 Enterprise Center in June 2025, partially offset by $0.4 million of relocation-related costs.</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before="0" w:after="0"/>
        <w:jc w:val="both"/>
        <w:rPr/>
      </w:pPr>
      <w:r>
        <w:rPr/>
      </w:r>
    </w:p>
    <w:p>
      <w:pPr>
        <w:pStyle w:val="TextBody"/>
        <w:bidi w:val="0"/>
        <w:spacing w:lineRule="auto" w:line="28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Income tax expense for the three months ended June 30, 2026 was $0.2 million and primarily related to foreign income taxes and withholding taxes imposed in foreign jurisdictions. Income tax expense for the three months ended June 30, 2025 was $0.1 million and primarily related to withholding taxes imposed in foreign jurisdictions.</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51155"/>
                <wp:effectExtent l="0" t="0" r="0" b="0"/>
                <wp:wrapNone/>
                <wp:docPr id="28" name="Frame28"/>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120"/>
        <w:jc w:val="both"/>
        <w:rPr/>
      </w:pPr>
      <w:r>
        <w:rPr>
          <w:rFonts w:ascii="Times New Roman;serif" w:hAnsi="Times New Roman;serif"/>
          <w:b/>
          <w:color w:val="000000"/>
          <w:sz w:val="18"/>
        </w:rPr>
        <w:t>Six months ended June 30, 2026</w:t>
      </w:r>
      <w:r>
        <w:rPr>
          <w:color w:val="000000"/>
        </w:rPr>
        <w:t xml:space="preserve"> </w:t>
      </w:r>
      <w:r>
        <w:rPr>
          <w:rFonts w:ascii="Times New Roman;serif" w:hAnsi="Times New Roman;serif"/>
          <w:b/>
          <w:color w:val="000000"/>
          <w:sz w:val="20"/>
        </w:rPr>
        <w:t xml:space="preserve">and 2025 </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Net Sales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Our net sales for the six months ended June 30, 2026 and 2025 were as follows: </w:t>
      </w:r>
    </w:p>
    <w:tbl>
      <w:tblPr>
        <w:tblW w:w="6176" w:type="dxa"/>
        <w:jc w:val="center"/>
        <w:tblInd w:w="0" w:type="dxa"/>
        <w:tblLayout w:type="fixed"/>
        <w:tblCellMar>
          <w:top w:w="28" w:type="dxa"/>
          <w:left w:w="28" w:type="dxa"/>
          <w:bottom w:w="28" w:type="dxa"/>
          <w:right w:w="28" w:type="dxa"/>
        </w:tblCellMar>
      </w:tblPr>
      <w:tblGrid>
        <w:gridCol w:w="309"/>
        <w:gridCol w:w="271"/>
        <w:gridCol w:w="275"/>
        <w:gridCol w:w="258"/>
        <w:gridCol w:w="884"/>
        <w:gridCol w:w="133"/>
        <w:gridCol w:w="133"/>
        <w:gridCol w:w="133"/>
        <w:gridCol w:w="133"/>
        <w:gridCol w:w="258"/>
        <w:gridCol w:w="884"/>
        <w:gridCol w:w="133"/>
        <w:gridCol w:w="109"/>
        <w:gridCol w:w="109"/>
        <w:gridCol w:w="109"/>
        <w:gridCol w:w="211"/>
        <w:gridCol w:w="721"/>
        <w:gridCol w:w="109"/>
        <w:gridCol w:w="109"/>
        <w:gridCol w:w="109"/>
        <w:gridCol w:w="109"/>
        <w:gridCol w:w="180"/>
        <w:gridCol w:w="181"/>
        <w:gridCol w:w="316"/>
      </w:tblGrid>
      <w:tr>
        <w:trPr/>
        <w:tc>
          <w:tcPr>
            <w:tcW w:w="3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Change</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9"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For the six months ended June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5" w:type="dxa"/>
            <w:gridSpan w:val="9"/>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 vs. 2025</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w:t>
            </w:r>
          </w:p>
        </w:tc>
      </w:tr>
      <w:tr>
        <w:trPr/>
        <w:tc>
          <w:tcPr>
            <w:tcW w:w="8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2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(dollars in thousands)</w:t>
            </w:r>
          </w:p>
        </w:tc>
      </w:tr>
      <w:tr>
        <w:trPr/>
        <w:tc>
          <w:tcPr>
            <w:tcW w:w="855"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2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77" w:type="dxa"/>
            <w:gridSpan w:val="3"/>
            <w:tcBorders/>
            <w:vAlign w:val="center"/>
          </w:tcPr>
          <w:p>
            <w:pPr>
              <w:pStyle w:val="TableContents"/>
              <w:bidi w:val="0"/>
              <w:spacing w:before="0" w:after="283"/>
              <w:jc w:val="left"/>
              <w:rPr>
                <w:sz w:val="4"/>
                <w:szCs w:val="4"/>
              </w:rPr>
            </w:pPr>
            <w:r>
              <w:rPr>
                <w:sz w:val="4"/>
                <w:szCs w:val="4"/>
              </w:rPr>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w:t>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57,865 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44,691 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Product </w:t>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11 </w:t>
            </w:r>
          </w:p>
        </w:tc>
        <w:tc>
          <w:tcPr>
            <w:tcW w:w="3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8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Net sales</w:t>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66,041 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52,037 </w:t>
            </w:r>
          </w:p>
        </w:tc>
        <w:tc>
          <w:tcPr>
            <w:tcW w:w="13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14,004 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27 </w:t>
            </w:r>
          </w:p>
        </w:tc>
        <w:tc>
          <w:tcPr>
            <w:tcW w:w="3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sales increased by $14.0 million, or 27%, for the six months ended June 30, 2026 as compared to the six months ended June 30, 2025. Service sales increased by $13.2 million, or 29%, to $57.9 million for the six months ended June 30, 2026 from $44.7 million for the six months ended June 30, 2025. The increase in service sales was primarily due to a $12.7 million increase in our airtime service sales, which reflected a substantial increase in LEO service sales driven by an increase in subscribers for both Starlink and OneWeb. This increase in LEO service sales was partially offset by a substantial decrease in VSAT service subscribers. For the six months ended June 30, 2026, LEO services sales represented over 50% of airtime services sales, as compared to less than 30% for the six months ended June 30, 2025. The increase in LEO service sales as a percentage of total airtime sales resulted from both a substantial increase in LEO service sales and a substantial decrease in VSAT service sales. LEO service providers have continued to expand their product and service offerings, further heightening competition in the global leisure segment and in commercial and government markets.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Product sales increased by $0.8 million, or 11%, to $8.2 million for the six months ended June 30, 2026 from $7.3 million for the six months ended June 30, 2025. The increase in product sales was primarily due to a $1.0 million increase in Starlink product sales, $0.9 million increase in OneWeb product sales, and a $0.4 million increase in accessory and service parts product sales, partially offset by a $1.0 million decrease in TracVision product sales and a $0.5 million decrease in VSAT Broadband product sales. Competition from low-cost alternatives to VSAT, which include streaming capabilities, has had a significant impact on sales of our TracVision products.</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Costs of Sales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Costs of sales increased by $10.7 million, or 30%, in the six months ended June 30, 2026 to $46.2 million from $35.5 million in the six months ended June 30, 2025. The increase in costs of sales was driven by a $1.7 million increase in costs of product sales and a $9.0 million increase in costs of service sales. As a percentage of net sales, costs of sales were 70% and 68% for the six months ended June 30,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costs of service sales increased by $9.0 million, or 32%, to $37.5 million from $28.4 million for the six months ended June 30, 2025, primarily due to a $8.4 million increase in airtime cost of service sales, a $0.3 million increase in CommBox Edge cost of service sales and a $0.2 million increase in content services cost of services sales. As a percentage of service sales, costs of service sales were 65% and 64% for the six months ended June 30,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For the six months ended June 30, 2026, costs of product sales increased by $1.7 million, or 24%, to $8.7 million from $7.0 million in the six months ended June 30, 2025, primarily due to a $1.4 million increase in various manufacturing and other unabsorbed expenses, a $0.8 million increase in OneWeb cost of product sales and a $0.7 million increase in Starlink cost of product sales, partially offset by a $0.7 million decrease in TracVision cost of product sales, a $0.2 million decrease in accessories and other cost of product sales, and a $0.2 million decrease in VSAT cost of product sales. As a percentage of product sales, costs of product sales were 106% and 96% for the six months ended June 30, 2026 and 2025, respectively. Cost of product sales increase as a percentage of product sales primarily due to the increase in various manufacturing and other unabsorbed expenses.</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51155"/>
                <wp:effectExtent l="0" t="0" r="0" b="0"/>
                <wp:wrapNone/>
                <wp:docPr id="29" name="Frame29"/>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Research and development expense for the six months ended June 30, 2026 decreased by $0.6 million, or 27%, to $1.5 million from $2.1 million for the six months ended June 30, 2025. The decrease in research and development expense resulted primarily from a $0.6 million decrease in salaries, benefits and taxes. As a percentage of net sales, research and development expense was 2% and 4% for the six months ended June 30,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Sales, marketing and support expense for the six months ended June 30, 2026 increased by $0.3 million, or 3%, to $10.3 million from $10.0 million for the six months ended June 30, 2025. The increase in sales, marketing and support expense resulted primarily from a $0.6 million increase in salaries, benefits and taxes, partially offset by a $0.4 million decrease in warranty expense. As a percentage of net sales, sales, marketing and support expense was 16% and 19% for the six months ended June 30, 2026 and 2025, respectively.</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General and administrative expense for the six months ended June 30, 2026 increased by $1.1 million, or 16%, to $8.2 million from $7.1 million for the six months ended June 30, 2025. The increase in general and administrative expense resulted primarily from a $0.5 million increase in salaries, benefits and taxes, a $0.3 million increase in professional fees, a $0.2 million increase in computer expenses, and a $0.2 million increase in depreciation expense, partially offset by a $0.1 million decrease in dues and subscriptions. As a percentage of net sales, general and administrative expense was 13% and 14% for the six months ended June 30, 2026 and 2025, respectively.</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Interest and Other Income (Expense), Net</w:t>
      </w:r>
    </w:p>
    <w:p>
      <w:pPr>
        <w:pStyle w:val="TextBody"/>
        <w:bidi w:val="0"/>
        <w:spacing w:lineRule="auto" w:line="288" w:before="0" w:after="0"/>
        <w:jc w:val="both"/>
        <w:rPr>
          <w:color w:val="000000"/>
        </w:rPr>
      </w:pPr>
      <w:r>
        <w:rPr>
          <w:color w:val="000000"/>
        </w:rPr>
        <w:t>    </w:t>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Interest income represents interest earned on our cash and cash equivalents, as well as from investments and our sale-type lease receivables. Interest income remained flat at $1.1 million for the six months ended June 30, 2026 from $1.1 million for the six months ended June 30, 2025. Of the current period interest income of $1.1 million, $1.0 million is attributable to interest earned on cash and cash equivalents, and $0.2 million was attributable to interest from lease receivables. Other income, net decreased by $0.7 million to other income, net of $0.1 million for the six months ended June 30, 2026 from other income, net of $0.8 million for the six months ended June 30, 2025. This change was driven primarily by $0.4 million of relocation-related costs and a $0.2 million increase in losses on foreign exchange.</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i/>
          <w:color w:val="000000"/>
          <w:sz w:val="20"/>
        </w:rPr>
      </w:pPr>
      <w:r>
        <w:rPr>
          <w:rFonts w:ascii="Times New Roman;serif" w:hAnsi="Times New Roman;serif"/>
          <w:b/>
          <w:i/>
          <w:color w:val="000000"/>
          <w:sz w:val="20"/>
        </w:rPr>
        <w:t>Income Tax Expense</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Income tax expense for the six months ended June 30, 2026 was $0.3 million and primarily related to foreign income taxes and withholding taxes imposed in foreign jurisdictions. Income tax expense for the six months ended June 30, 2025 was $0.1 million and primarily related to state taxes and withholding taxes imposed in foreign jurisdictions.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80" w:after="283"/>
        <w:jc w:val="left"/>
        <w:rPr>
          <w:rFonts w:ascii="Times New Roman;serif" w:hAnsi="Times New Roman;serif"/>
          <w:b/>
          <w:color w:val="000000"/>
          <w:sz w:val="20"/>
        </w:rPr>
      </w:pPr>
      <w:r>
        <w:rPr>
          <w:rFonts w:ascii="Times New Roman;serif" w:hAnsi="Times New Roman;serif"/>
          <w:b/>
          <w:color w:val="000000"/>
          <w:sz w:val="20"/>
        </w:rPr>
        <w:t xml:space="preserve">Liquidity and Capital Resources </w:t>
      </w:r>
    </w:p>
    <w:p>
      <w:pPr>
        <w:pStyle w:val="TextBody"/>
        <w:bidi w:val="0"/>
        <w:spacing w:before="0" w:after="0"/>
        <w:jc w:val="left"/>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Our primary liquidity needs have been to fund general business requirements, including working capital requirements and capital expenditures. In recent years, we have funded our operations primarily from the sale of two businesses in 2022, the sale of 50 Enterprise Center, the sale of 75 Enterprise Center, cash flows from operations and proceeds received from exercises of stock options and the issuance of stock.</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August 9, 2022, we sold our inertial navigation business to EMCORE Corporation for net proceeds of $54.9 million, less specified deductions.</w:t>
      </w:r>
    </w:p>
    <w:p>
      <w:pPr>
        <w:pStyle w:val="TextBody"/>
        <w:bidi w:val="0"/>
        <w:spacing w:before="0" w:after="0"/>
        <w:ind w:left="0" w:right="0" w:firstLine="540"/>
        <w:jc w:val="both"/>
        <w:rPr/>
      </w:pPr>
      <w:r>
        <w:rPr/>
      </w:r>
    </w:p>
    <w:p>
      <w:pPr>
        <w:pStyle w:val="TextBody"/>
        <w:bidi w:val="0"/>
        <w:spacing w:lineRule="auto" w:line="268" w:before="0" w:after="0"/>
        <w:ind w:left="0" w:right="0" w:firstLine="540"/>
        <w:jc w:val="left"/>
        <w:rPr>
          <w:rFonts w:ascii="Times New Roman;serif" w:hAnsi="Times New Roman;serif"/>
          <w:b w:val="false"/>
          <w:color w:val="000000"/>
          <w:sz w:val="20"/>
        </w:rPr>
      </w:pPr>
      <w:r>
        <w:rPr>
          <w:rFonts w:ascii="Times New Roman;serif" w:hAnsi="Times New Roman;serif"/>
          <w:b w:val="false"/>
          <w:color w:val="000000"/>
          <w:sz w:val="20"/>
        </w:rPr>
        <w:t>As of June 30, 2026, we had $57.7 million in cash and cash equivalents, of which $2.8 million in cash equivalents was held in local currencies by our foreign subsidiaries. As of June 30, 2026, we had $101.3 million in working capital.</w:t>
      </w:r>
    </w:p>
    <w:p>
      <w:pPr>
        <w:pStyle w:val="TextBody"/>
        <w:bidi w:val="0"/>
        <w:spacing w:before="0" w:after="0"/>
        <w:ind w:left="0" w:right="0" w:firstLine="54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51155"/>
                <wp:effectExtent l="0" t="0" r="0" b="0"/>
                <wp:wrapNone/>
                <wp:docPr id="30" name="Frame30"/>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Based upon our current working capital position, current operating plans and expected business conditions, we expect to have sufficient funds, through at least twelve months from the date that this report is filed with the SEC, to fund our short-term and long-term working capital requirements, including capital expenditures and contractual obligations. In recognition of the substantial growth of Starlink airtime services as a percentage of our revenue since the second quarter of 2024 and in an effort to increase margins, we entered an agreement in the fourth quarter of 2025 to purchase a substantial block of Starlink Global Priority data for $45.0 million. We made an upfront payment of $5.0 million upon entry into the agreement, a payment of $10.0 million in January 2026, and payments of $6.0 million in each of February 2026 and May 2026. The remaining $18.0 million obligation will be paid in three quarterly payments through the first quarter of 2027. Our funding plans for our working capital needs and other commitments may be adversely impacted if our underlying assumptions regarding our anticipated revenues and expenses are not realized. If our operating results fail to meet our expectations, we could be required to seek additional funding through public or private financings or other arrangements. In that event, adequate funds may not be available when needed or may be available only on terms which could have a negative impact on our business and results of operations. In addition, if we raise funds by issuing equity securities, our stockholders may experience dilution.</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operations was $6.4 million for the six months ended June 30, 2026 compared to net cash provided by operations of $3.8 million for the six months ended June 30, 2025. The $10.2 million increase in net cash used in operations was primarily the result of a $14.3 million increase in cash outflows related to prepaid expenses and other current assets, which reflected the $22.0 million purchase of Starlink pooled data in 2026, a $0.5 million increase in cash outflows relating to accrued compensation, product warranty and other expenses, a $0.4 million reduction in non-cash items and a $0.2 million decrease in cash inflows relating to accounts receivable, partially offset by a $3.6 million decrease in cash outflows related to accounts payable, a $1.5 million decrease in net loss, and a $0.3 million decrease in cash outflows relating to inventories.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investing activities was $3.9 million for the six months ended June 30, 2026 compared to net cash provided by investing activities of $2.6 million for the six months ended June 30, 2025. The $6.5 million increase in net cash used in investing activities was primarily the result of the proceeds of $4.9 million from the sale of 50 Enterprise Center received in the six months ended June 30, 2025 as compared to no such proceeds in the six months ended June 30, 2026, a $0.6 million increase in acquisition of intangible assets, a $0.6 million decrease of proceeds from the sale of fixed assets and a $0.3 million increase in capital expenditures.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Net cash used in financing activities was $1.9 million for the six months ended June 30, 2026 compared to net cash used in financing activities of $1.2 million for the six months ended June 30, 2025. The $0.7 million increase in net cash used in financing activities is the result of a $1.3 million increase in cash outflows related to the repurchase of common stock, offset by a $0.6 million increase in cash inflows related to the proceeds from stock options exercised.</w:t>
      </w:r>
    </w:p>
    <w:p>
      <w:pPr>
        <w:pStyle w:val="TextBody"/>
        <w:bidi w:val="0"/>
        <w:spacing w:before="0" w:after="0"/>
        <w:ind w:left="0" w:right="0" w:firstLine="540"/>
        <w:jc w:val="both"/>
        <w:rPr/>
      </w:pPr>
      <w:r>
        <w:rPr/>
      </w:r>
    </w:p>
    <w:p>
      <w:pPr>
        <w:pStyle w:val="TextBody"/>
        <w:bidi w:val="0"/>
        <w:spacing w:lineRule="auto" w:line="276" w:before="0" w:after="0"/>
        <w:jc w:val="both"/>
        <w:rPr>
          <w:rFonts w:ascii="Times New Roman;serif" w:hAnsi="Times New Roman;serif"/>
          <w:b/>
          <w:i/>
          <w:color w:val="000000"/>
          <w:sz w:val="20"/>
        </w:rPr>
      </w:pPr>
      <w:r>
        <w:rPr>
          <w:rFonts w:ascii="Times New Roman;serif" w:hAnsi="Times New Roman;serif"/>
          <w:b/>
          <w:i/>
          <w:color w:val="000000"/>
          <w:sz w:val="20"/>
        </w:rPr>
        <w:t>Other Matters</w:t>
      </w:r>
    </w:p>
    <w:p>
      <w:pPr>
        <w:pStyle w:val="TextBody"/>
        <w:bidi w:val="0"/>
        <w:spacing w:before="0" w:after="0"/>
        <w:ind w:left="0" w:right="0" w:firstLine="540"/>
        <w:jc w:val="both"/>
        <w:rPr/>
      </w:pPr>
      <w:r>
        <w:rPr/>
      </w:r>
    </w:p>
    <w:p>
      <w:pPr>
        <w:pStyle w:val="TextBody"/>
        <w:bidi w:val="0"/>
        <w:spacing w:lineRule="auto" w:line="288" w:before="0" w:after="0"/>
        <w:ind w:left="0" w:right="0" w:firstLine="720"/>
        <w:jc w:val="both"/>
        <w:rPr>
          <w:rFonts w:ascii="Times New Roman;serif" w:hAnsi="Times New Roman;serif"/>
          <w:b w:val="false"/>
          <w:color w:val="000000"/>
          <w:sz w:val="20"/>
        </w:rPr>
      </w:pPr>
      <w:r>
        <w:rPr>
          <w:rFonts w:ascii="Times New Roman;serif" w:hAnsi="Times New Roman;serif"/>
          <w:b w:val="false"/>
          <w:color w:val="000000"/>
          <w:sz w:val="20"/>
        </w:rPr>
        <w:t>On December 9, 2024, our Board of Directors authorized a share repurchase program pursuant in which we may purchase outstanding shares of our common stock for an aggregate purchase price of up to $10 million. On March 6, 2026, our Board of Directors authorized an increase in the size of the repurchase program from $10 million to $15 million.</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program, we, at management’s discretion, may repurchase shares from time to time through various means, including on the open market, in privately negotiated transactions or block transactions, or through an accelerated repurchase agreement. We may elect to make purchases under Rule 10b-18 under the Securities Exchange Act of 1934, as amended, or the Exchange Act, which imposes certain volume limitations, and/or under Rule 10b5-1 under that act, which would permit repurchases to occur during periods when we might otherwise be precluded from making purchases under insider trading laws or our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254 thousand shares of common stock in open market transactions at a cost of approximately $2.3 million. During the six months ended June 30, 2026, we repurchased 288 thousand shares of common stock in open market transactions at a cost of approximately $2.5 million. Except as noted above, there were no other repurchase programs outstanding.</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hanging="144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before="0" w:after="0"/>
        <w:jc w:val="both"/>
        <w:rPr/>
      </w:pPr>
      <w:r>
        <w:rPr/>
      </w:r>
    </w:p>
    <w:p>
      <w:pPr>
        <w:pStyle w:val="TextBody"/>
        <w:bidi w:val="0"/>
        <w:spacing w:lineRule="auto" w:line="288" w:before="140" w:after="283"/>
        <w:jc w:val="both"/>
        <w:rPr>
          <w:rFonts w:ascii="Times New Roman;serif" w:hAnsi="Times New Roman;serif"/>
          <w:b/>
          <w:color w:val="000000"/>
          <w:sz w:val="20"/>
        </w:rPr>
      </w:pPr>
      <w:r>
        <w:rPr>
          <w:rFonts w:ascii="Times New Roman;serif" w:hAnsi="Times New Roman;serif"/>
          <w:b/>
          <w:color w:val="000000"/>
          <w:sz w:val="20"/>
        </w:rPr>
        <w:t>Evaluation of Disclosure Controls and Procedures</w:t>
      </w:r>
    </w:p>
    <w:p>
      <w:pPr>
        <w:pStyle w:val="TextBody"/>
        <w:bidi w:val="0"/>
        <w:spacing w:before="0" w:after="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as defined in Rules 13a-15(e) and 15d-15(e) under the Exchange Act, which are designed to ensure that information required to be disclosed in the reports that we file or submit under the Exchange Act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as appropriate to allow timely decisions regarding required disclosure. </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 xml:space="preserve">Under the supervision and with the participation of our Chief Executive Officer and Chief Financial Officer, our management has evaluated the effectiveness of our disclosure controls and procedures as of June 30, 2026, the end of the period covered by this interim report. Based on that evaluation, our Chief Executive Officer and Chief Financial Officer concluded that our disclosure controls and procedures were effective as of June 30, 2026. </w:t>
      </w:r>
    </w:p>
    <w:p>
      <w:pPr>
        <w:pStyle w:val="TextBody"/>
        <w:bidi w:val="0"/>
        <w:spacing w:before="0" w:after="0"/>
        <w:ind w:left="0" w:right="0" w:firstLine="54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Evaluation of Changes in Internal Control over Financial Reporting</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pPr>
      <w:r>
        <w:rPr>
          <w:rFonts w:ascii="Times New Roman;serif" w:hAnsi="Times New Roman;serif"/>
          <w:b w:val="false"/>
          <w:color w:val="000000"/>
          <w:sz w:val="20"/>
        </w:rPr>
        <w:t>Under the supervision and with the participation of our Chief Executive Officer and Chief Financial Officer, our management has evaluated changes in our internal control over financial reporting that occurred during the second quarter</w:t>
      </w:r>
      <w:r>
        <w:rPr>
          <w:color w:val="EE2724"/>
        </w:rPr>
        <w:t xml:space="preserve"> </w:t>
      </w:r>
      <w:r>
        <w:rPr>
          <w:rFonts w:ascii="Times New Roman;serif" w:hAnsi="Times New Roman;serif"/>
          <w:b w:val="false"/>
          <w:color w:val="000000"/>
          <w:sz w:val="20"/>
        </w:rPr>
        <w:t>of 2026. Based on that evaluation, our Chief Executive Officer and Chief Financial Officer did not identify any change in our internal control over financial reporting during the second quarter of 2026 that has materially affected, or is reasonably likely to materially affect, our internal control over financial reporting.</w:t>
      </w:r>
    </w:p>
    <w:p>
      <w:pPr>
        <w:pStyle w:val="TextBody"/>
        <w:bidi w:val="0"/>
        <w:spacing w:before="0" w:after="0"/>
        <w:jc w:val="both"/>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Important Considerations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effectiveness of our disclosure controls and procedures and our internal control over financial reporting is subject to various inherent limitations, including cost limitations, judgments used in decision making, assumptions about the likelihood of future events, the soundness of our systems, the possibility of human error, and the risk of fraud. Moreover, projections of any evaluation of effectiveness to future periods are subject to the risk that controls may become inadequate because of changes in conditions and the risk that the degree of compliance with policies or procedures may deteriorate over time. Because of these limitations, there can be no assurance that any system of disclosure controls and procedures or internal control over financial reporting will be successful in preventing all errors or fraud or in making all material information known in a timely manner to the appropriate levels of management.</w:t>
      </w:r>
    </w:p>
    <w:p>
      <w:pPr>
        <w:pStyle w:val="TextBody"/>
        <w:bidi w:val="0"/>
        <w:spacing w:before="0" w:after="0"/>
        <w:ind w:left="0" w:right="0" w:firstLine="54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II. OTHER INFORMATION</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1440"/>
        <w:jc w:val="both"/>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80" w:after="283"/>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There are many risks and uncertainties that can affect our future business, financial performance or results of operations. In addition to the other information set forth in this report, please review and consider the information regarding certain factors that could materially affect our business, financial condition or future results set forth in the section entitled "Risk Factors" in Item 1A of Part I of our annual report on Form 10-K for the year ended December 31, 2025. There have been no material changes to these risk factors during the quarter ended June 30, 2026.</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On December 9, 2024, our Board of Directors authorized a share repurchase program pursuant in which we may purchase outstanding shares of our common stock for an aggregate purchase price of up to $10 million. On March 6, 2026, our Board of Directors authorized an increase in the size of the repurchase program from $10 million to $15 million.</w:t>
      </w:r>
    </w:p>
    <w:p>
      <w:pPr>
        <w:pStyle w:val="TextBody"/>
        <w:bidi w:val="0"/>
        <w:spacing w:before="0" w:after="0"/>
        <w:jc w:val="both"/>
        <w:rPr/>
      </w:pPr>
      <w:r>
        <w:rPr/>
      </w:r>
    </w:p>
    <w:p>
      <w:pPr>
        <w:pStyle w:val="TextBody"/>
        <w:bidi w:val="0"/>
        <w:spacing w:lineRule="auto" w:line="26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Under the program, we, at management’s discretion, may repurchase shares from time to time through various means, including on the open market, in privately negotiated transactions or block transactions, or through an accelerated repurchase agreement. We may elect to make purchases under Rule 10b-18 under the Exchange Act which imposes certain volume limitations, and/or under Rule 10b5-1 under that act, which would permit repurchases to occur during periods when we might otherwise be precluded from making purchases under insider trading laws or our company policy. The volume and timing of any such repurchases will depend on a variety of factors, including the availability of shares, price, market conditions, alternative uses of capital, liquidity, general business conditions, satisfaction of debt covenants, and applicable regulatory requirements. The program does not obligate us to repurchase any minimum number or dollar amount of shares, and the program may be modified, suspended or terminated at any time without prior notice.</w:t>
      </w:r>
    </w:p>
    <w:p>
      <w:pPr>
        <w:pStyle w:val="TextBody"/>
        <w:bidi w:val="0"/>
        <w:spacing w:before="0" w:after="0"/>
        <w:ind w:left="0" w:right="0" w:firstLine="72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we repurchased 253,792 shares of common stock in open market transactions at a cost of approximately $2.3 million. During the six months ended June 30, 2026, we repurchased 288,078 shares of common stock in open market transactions at a cost of approximately $2.5 million. Except as noted above, there were no other repurchase programs outstanding.</w:t>
      </w:r>
    </w:p>
    <w:p>
      <w:pPr>
        <w:pStyle w:val="TextBody"/>
        <w:bidi w:val="0"/>
        <w:spacing w:before="0" w:after="0"/>
        <w:jc w:val="left"/>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During the three and six months ended June 30, 2026, no vested restricted shares were surrendered to us in satisfaction of tax withholding obligations.</w:t>
      </w:r>
    </w:p>
    <w:p>
      <w:pPr>
        <w:pStyle w:val="TextBody"/>
        <w:bidi w:val="0"/>
        <w:spacing w:before="0" w:after="0"/>
        <w:ind w:left="0" w:right="0" w:firstLine="540"/>
        <w:jc w:val="both"/>
        <w:rPr/>
      </w:pPr>
      <w:r>
        <w:rPr/>
      </w:r>
    </w:p>
    <w:p>
      <w:pPr>
        <w:pStyle w:val="TextBody"/>
        <w:bidi w:val="0"/>
        <w:spacing w:lineRule="auto" w:line="288" w:before="0" w:after="0"/>
        <w:ind w:left="0" w:right="0" w:firstLine="540"/>
        <w:jc w:val="both"/>
        <w:rPr>
          <w:rFonts w:ascii="Times New Roman;serif" w:hAnsi="Times New Roman;serif"/>
          <w:b w:val="false"/>
          <w:color w:val="000000"/>
          <w:sz w:val="20"/>
        </w:rPr>
      </w:pPr>
      <w:r>
        <w:rPr>
          <w:rFonts w:ascii="Times New Roman;serif" w:hAnsi="Times New Roman;serif"/>
          <w:b w:val="false"/>
          <w:color w:val="000000"/>
          <w:sz w:val="20"/>
        </w:rPr>
        <w:t>The following table provides information about our repurchase of common stock during the three months ended June 30, 2026.</w:t>
      </w:r>
    </w:p>
    <w:p>
      <w:pPr>
        <w:pStyle w:val="TextBody"/>
        <w:bidi w:val="0"/>
        <w:spacing w:before="0" w:after="0"/>
        <w:ind w:left="0" w:right="0" w:firstLine="540"/>
        <w:jc w:val="both"/>
        <w:rPr/>
      </w:pPr>
      <w:r>
        <w:rPr/>
      </w:r>
    </w:p>
    <w:tbl>
      <w:tblPr>
        <w:tblW w:w="10205" w:type="dxa"/>
        <w:jc w:val="left"/>
        <w:tblInd w:w="0" w:type="dxa"/>
        <w:tblLayout w:type="fixed"/>
        <w:tblCellMar>
          <w:top w:w="28" w:type="dxa"/>
          <w:left w:w="28" w:type="dxa"/>
          <w:bottom w:w="28" w:type="dxa"/>
          <w:right w:w="28" w:type="dxa"/>
        </w:tblCellMar>
      </w:tblPr>
      <w:tblGrid>
        <w:gridCol w:w="346"/>
        <w:gridCol w:w="305"/>
        <w:gridCol w:w="309"/>
        <w:gridCol w:w="663"/>
        <w:gridCol w:w="500"/>
        <w:gridCol w:w="502"/>
        <w:gridCol w:w="392"/>
        <w:gridCol w:w="755"/>
        <w:gridCol w:w="202"/>
        <w:gridCol w:w="1094"/>
        <w:gridCol w:w="956"/>
        <w:gridCol w:w="959"/>
        <w:gridCol w:w="469"/>
        <w:gridCol w:w="2403"/>
        <w:gridCol w:w="350"/>
      </w:tblGrid>
      <w:tr>
        <w:trPr/>
        <w:tc>
          <w:tcPr>
            <w:tcW w:w="34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92"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c>
          <w:tcPr>
            <w:tcW w:w="1094"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9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w:t>
            </w:r>
          </w:p>
        </w:tc>
        <w:tc>
          <w:tcPr>
            <w:tcW w:w="1349"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erif" w:hAnsi="Times New Roman;serif"/>
                <w:b/>
                <w:color w:val="000000"/>
                <w:sz w:val="16"/>
              </w:rPr>
              <w:t>Average Price Paid per Share</w:t>
            </w:r>
            <w:r>
              <w:rPr>
                <w:rFonts w:ascii="Times New Roman;serif" w:hAnsi="Times New Roman;serif"/>
                <w:b/>
                <w:color w:val="000000"/>
                <w:sz w:val="10"/>
              </w:rPr>
              <w:t>(1)</w:t>
            </w:r>
            <w:r>
              <w:rPr>
                <w:color w:val="000000"/>
              </w:rPr>
              <w:t xml:space="preserve"> </w:t>
            </w:r>
          </w:p>
        </w:tc>
        <w:tc>
          <w:tcPr>
            <w:tcW w:w="30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 Number of Shares Purchased as Part of Publicly Announced Plans or Programs</w:t>
            </w:r>
          </w:p>
        </w:tc>
        <w:tc>
          <w:tcPr>
            <w:tcW w:w="322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Approximate Dollar Value of Shares that May Yet Be Purchased Under the Program</w:t>
            </w:r>
          </w:p>
        </w:tc>
      </w:tr>
      <w:tr>
        <w:trPr/>
        <w:tc>
          <w:tcPr>
            <w:tcW w:w="960" w:type="dxa"/>
            <w:gridSpan w:val="3"/>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 April 30</w:t>
            </w:r>
          </w:p>
        </w:tc>
        <w:tc>
          <w:tcPr>
            <w:tcW w:w="1163"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55"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2403"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13,051,549 </w:t>
            </w:r>
          </w:p>
        </w:tc>
        <w:tc>
          <w:tcPr>
            <w:tcW w:w="350"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 May 31</w:t>
            </w:r>
          </w:p>
        </w:tc>
        <w:tc>
          <w:tcPr>
            <w:tcW w:w="116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9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13,051,549 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 June 30</w:t>
            </w:r>
          </w:p>
        </w:tc>
        <w:tc>
          <w:tcPr>
            <w:tcW w:w="116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253,792 </w:t>
            </w:r>
          </w:p>
        </w:tc>
        <w:tc>
          <w:tcPr>
            <w:tcW w:w="5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0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253,792 </w:t>
            </w:r>
          </w:p>
        </w:tc>
        <w:tc>
          <w:tcPr>
            <w:tcW w:w="9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10,727,140 </w:t>
            </w:r>
          </w:p>
        </w:tc>
        <w:tc>
          <w:tcPr>
            <w:tcW w:w="3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1163"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253,792 </w:t>
            </w:r>
          </w:p>
        </w:tc>
        <w:tc>
          <w:tcPr>
            <w:tcW w:w="502"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9.13 </w:t>
            </w:r>
          </w:p>
        </w:tc>
        <w:tc>
          <w:tcPr>
            <w:tcW w:w="202"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253,792 </w:t>
            </w:r>
          </w:p>
        </w:tc>
        <w:tc>
          <w:tcPr>
            <w:tcW w:w="95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(1)    Does not include broker commissions.</w:t>
      </w:r>
    </w:p>
    <w:tbl>
      <w:tblPr>
        <w:tblW w:w="714" w:type="dxa"/>
        <w:jc w:val="left"/>
        <w:tblInd w:w="0" w:type="dxa"/>
        <w:tblLayout w:type="fixed"/>
        <w:tblCellMar>
          <w:top w:w="28" w:type="dxa"/>
          <w:left w:w="28" w:type="dxa"/>
          <w:bottom w:w="28" w:type="dxa"/>
          <w:right w:w="28" w:type="dxa"/>
        </w:tblCellMar>
      </w:tblPr>
      <w:tblGrid>
        <w:gridCol w:w="124"/>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before="0" w:after="0"/>
        <w:jc w:val="both"/>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none of our directors or officers (as defined in Rule 16a-1(f) under the Exchange Act) adopted or terminated any Rule 10b5-1 trading arrangement or non-Rule 10b5-1 trading arrangement (each as defined in Item 408 of Regulation S-K).</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p>
      <w:pPr>
        <w:pStyle w:val="TextBody"/>
        <w:bidi w:val="0"/>
        <w:spacing w:lineRule="auto" w:line="288" w:before="180" w:after="283"/>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Exhibits: </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56"/>
        <w:gridCol w:w="225"/>
        <w:gridCol w:w="207"/>
        <w:gridCol w:w="109"/>
        <w:gridCol w:w="109"/>
        <w:gridCol w:w="109"/>
        <w:gridCol w:w="1501"/>
        <w:gridCol w:w="1389"/>
        <w:gridCol w:w="1402"/>
        <w:gridCol w:w="109"/>
        <w:gridCol w:w="109"/>
        <w:gridCol w:w="109"/>
        <w:gridCol w:w="367"/>
        <w:gridCol w:w="367"/>
        <w:gridCol w:w="368"/>
        <w:gridCol w:w="109"/>
        <w:gridCol w:w="109"/>
        <w:gridCol w:w="109"/>
        <w:gridCol w:w="170"/>
        <w:gridCol w:w="170"/>
        <w:gridCol w:w="171"/>
        <w:gridCol w:w="110"/>
        <w:gridCol w:w="110"/>
        <w:gridCol w:w="110"/>
        <w:gridCol w:w="347"/>
        <w:gridCol w:w="319"/>
        <w:gridCol w:w="320"/>
        <w:gridCol w:w="110"/>
        <w:gridCol w:w="110"/>
        <w:gridCol w:w="110"/>
        <w:gridCol w:w="285"/>
        <w:gridCol w:w="285"/>
        <w:gridCol w:w="415"/>
      </w:tblGrid>
      <w:tr>
        <w:trPr/>
        <w:tc>
          <w:tcPr>
            <w:tcW w:w="256"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01"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c>
          <w:tcPr>
            <w:tcW w:w="14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415" w:type="dxa"/>
            <w:tcBorders/>
            <w:vAlign w:val="center"/>
          </w:tcPr>
          <w:p>
            <w:pPr>
              <w:pStyle w:val="TableContents"/>
              <w:bidi w:val="0"/>
              <w:spacing w:before="0" w:after="283"/>
              <w:jc w:val="left"/>
              <w:rPr>
                <w:sz w:val="4"/>
                <w:szCs w:val="4"/>
              </w:rPr>
            </w:pPr>
            <w:r>
              <w:rPr>
                <w:sz w:val="4"/>
                <w:szCs w:val="4"/>
              </w:rPr>
            </w:r>
          </w:p>
        </w:tc>
      </w:tr>
      <w:tr>
        <w:trPr/>
        <w:tc>
          <w:tcPr>
            <w:tcW w:w="6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c>
          <w:tcPr>
            <w:tcW w:w="327" w:type="dxa"/>
            <w:gridSpan w:val="3"/>
            <w:vMerge w:val="restart"/>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Filed with</w:t>
              <w:br/>
              <w:t>this Form 10-Q</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Incorporated by Reference</w:t>
            </w:r>
          </w:p>
        </w:tc>
      </w:tr>
      <w:tr>
        <w:trPr/>
        <w:tc>
          <w:tcPr>
            <w:tcW w:w="6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429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vMerge w:val="continue"/>
            <w:tcBorders/>
            <w:tcMar>
              <w:top w:w="0" w:type="dxa"/>
              <w:left w:w="0" w:type="dxa"/>
              <w:bottom w:w="0" w:type="dxa"/>
              <w:right w:w="0" w:type="dxa"/>
            </w:tcMar>
            <w:vAlign w:val="center"/>
          </w:tcPr>
          <w:p>
            <w:pPr>
              <w:pStyle w:val="Normal"/>
              <w:bidi w:val="0"/>
              <w:jc w:val="left"/>
              <w:rPr/>
            </w:pPr>
            <w:r>
              <w:rPr/>
            </w:r>
          </w:p>
        </w:tc>
        <w:tc>
          <w:tcPr>
            <w:tcW w:w="1102"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Form</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Filing Date</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 No.</w:t>
            </w:r>
          </w:p>
        </w:tc>
      </w:tr>
      <w:tr>
        <w:trPr/>
        <w:tc>
          <w:tcPr>
            <w:tcW w:w="688"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0"/>
              <w:jc w:val="right"/>
              <w:rPr/>
            </w:pPr>
            <w:hyperlink r:id="rId2">
              <w:r>
                <w:rPr>
                  <w:rStyle w:val="InternetLink"/>
                  <w:rFonts w:ascii="Times New Roman;serif" w:hAnsi="Times New Roman;serif"/>
                  <w:b w:val="false"/>
                  <w:color w:val="0000FF"/>
                  <w:sz w:val="20"/>
                  <w:u w:val="single"/>
                </w:rPr>
                <w:t>3.1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Certificate of Incorporation, as amended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6, 2010</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3">
              <w:r>
                <w:rPr>
                  <w:rStyle w:val="InternetLink"/>
                  <w:rFonts w:ascii="Times New Roman;serif" w:hAnsi="Times New Roman;serif"/>
                  <w:b w:val="false"/>
                  <w:color w:val="0000FF"/>
                  <w:sz w:val="20"/>
                  <w:u w:val="single"/>
                </w:rPr>
                <w:t>3.2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Certificate of Designations of Series A Junior Participating Cumulative Preferred Stock of KVH Industries, Inc. classifying and designating the Series A Junior Participating Cumulative 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8-A</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August 19, 2022</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3.1</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4">
              <w:r>
                <w:rPr>
                  <w:rStyle w:val="InternetLink"/>
                  <w:rFonts w:ascii="Times New Roman;serif" w:hAnsi="Times New Roman;serif"/>
                  <w:b w:val="false"/>
                  <w:color w:val="0000FF"/>
                  <w:sz w:val="20"/>
                  <w:u w:val="single"/>
                </w:rPr>
                <w:t>3.3</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Amended and Restated Bylaws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10-Q</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November 1, 2017</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3.2</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r:id="rId5">
              <w:r>
                <w:rPr>
                  <w:rStyle w:val="InternetLink"/>
                  <w:rFonts w:ascii="Times New Roman;serif" w:hAnsi="Times New Roman;serif"/>
                  <w:b w:val="false"/>
                  <w:color w:val="0000FF"/>
                  <w:sz w:val="20"/>
                  <w:u w:val="single"/>
                </w:rPr>
                <w:t>4.1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Specimen certificate for the 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10-K</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March 2, 2018</w:t>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4.1</w:t>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kvhi630202610qex311.htm">
              <w:r>
                <w:rPr>
                  <w:rStyle w:val="InternetLink"/>
                  <w:rFonts w:ascii="Times New Roman;serif" w:hAnsi="Times New Roman;serif"/>
                  <w:b w:val="false"/>
                  <w:color w:val="0000FF"/>
                  <w:sz w:val="20"/>
                  <w:u w:val="single"/>
                </w:rPr>
                <w:t>31.1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13a-14(a)/15d-14(a) certification of 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kvhi630202610qex312.htm">
              <w:r>
                <w:rPr>
                  <w:rStyle w:val="InternetLink"/>
                  <w:rFonts w:ascii="Times New Roman;serif" w:hAnsi="Times New Roman;serif"/>
                  <w:b w:val="false"/>
                  <w:color w:val="0000FF"/>
                  <w:sz w:val="20"/>
                  <w:u w:val="single"/>
                </w:rPr>
                <w:t>31.2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Rule 13a-14(a)/15d-14(a) certification of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kvhi630202610qex321.htm">
              <w:r>
                <w:rPr>
                  <w:rStyle w:val="InternetLink"/>
                  <w:rFonts w:ascii="Times New Roman;serif" w:hAnsi="Times New Roman;serif"/>
                  <w:b w:val="false"/>
                  <w:color w:val="0000FF"/>
                  <w:sz w:val="20"/>
                  <w:u w:val="single"/>
                </w:rPr>
                <w:t>32.1</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Section 1350 certification of principal executive officer and principal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financial information from KVH Industries, Inc.'s Quarterly Report on Form 10-Q for the quarter ended June 30, 2026, formatted in Inline XBRL (Extensible Business Reporting Language): (i) the Consolidated Balance Sheets (unaudited), (ii) the Consolidated Statements of Operations (unaudited), (iii) the Consolidated Statements of Comprehensive Income (unaudited), (iv) the Consolidated Statements of Stockholders' Equity (unaudited), (v) the Consolidated Statements of Cash Flows (unaudited), and (vi) the Notes to Consolidated Interim Financial Statements (unaudited).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104 </w:t>
            </w:r>
          </w:p>
        </w:tc>
        <w:tc>
          <w:tcPr>
            <w:tcW w:w="20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2"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r>
        <w:trPr/>
        <w:tc>
          <w:tcPr>
            <w:tcW w:w="6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29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11"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85" w:type="dxa"/>
            <w:gridSpan w:val="3"/>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300" w:after="283"/>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30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4864" w:type="dxa"/>
        <w:jc w:val="right"/>
        <w:tblInd w:w="0" w:type="dxa"/>
        <w:tblLayout w:type="fixed"/>
        <w:tblCellMar>
          <w:top w:w="28" w:type="dxa"/>
          <w:left w:w="28" w:type="dxa"/>
          <w:bottom w:w="28" w:type="dxa"/>
          <w:right w:w="28" w:type="dxa"/>
        </w:tblCellMar>
      </w:tblPr>
      <w:tblGrid>
        <w:gridCol w:w="328"/>
        <w:gridCol w:w="288"/>
        <w:gridCol w:w="288"/>
        <w:gridCol w:w="1160"/>
        <w:gridCol w:w="1160"/>
        <w:gridCol w:w="1640"/>
      </w:tblGrid>
      <w:tr>
        <w:trPr/>
        <w:tc>
          <w:tcPr>
            <w:tcW w:w="32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r>
      <w:tr>
        <w:trPr/>
        <w:tc>
          <w:tcPr>
            <w:tcW w:w="48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c>
      </w:tr>
      <w:tr>
        <w:trPr/>
        <w:tc>
          <w:tcPr>
            <w:tcW w:w="48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6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KVH Industries, Inc.</w:t>
            </w:r>
          </w:p>
        </w:tc>
      </w:tr>
      <w:tr>
        <w:trPr/>
        <w:tc>
          <w:tcPr>
            <w:tcW w:w="486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 ANTHONY F. PIKE</w:t>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Anthony F. Pike</w:t>
            </w:r>
          </w:p>
        </w:tc>
      </w:tr>
      <w:tr>
        <w:trPr/>
        <w:tc>
          <w:tcPr>
            <w:tcW w:w="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(Duly Authorized Officer and Chief Financial</w:t>
              <w:br/>
              <w:t>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31.1 </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 xml:space="preserve">Certification of Principal Executive Officer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 13a-14 or 15d-14 under the Securities Exchange Act of 1934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Brent C. Bruun, certify that: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KVH Industries, Inc.;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100" w:after="10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5282"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302"/>
        <w:gridCol w:w="1302"/>
        <w:gridCol w:w="1310"/>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Brent C. Bruun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Brent C. Bruun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 of Principal Financial Officer</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Pursuant to Rule 13a-14 or 15d-14 under the Securities Exchange Act of 1934 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302 of the Sarbanes-Oxley Act of 2002 </w:t>
      </w:r>
    </w:p>
    <w:p>
      <w:pPr>
        <w:pStyle w:val="TextBody"/>
        <w:bidi w:val="0"/>
        <w:spacing w:lineRule="auto" w:line="288" w:before="24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I, Anthony F. Pike, certify that: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1.I have reviewed this quarterly report on Form 10-Q of KVH Industries, Inc.;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120" w:after="283"/>
        <w:jc w:val="both"/>
        <w:rPr>
          <w:rFonts w:ascii="Times New Roman;serif" w:hAnsi="Times New Roman;serif"/>
          <w:b w:val="false"/>
          <w:color w:val="000000"/>
          <w:sz w:val="20"/>
        </w:rPr>
      </w:pPr>
      <w:r>
        <w:rPr>
          <w:rFonts w:ascii="Times New Roman;serif" w:hAnsi="Times New Roman;serif"/>
          <w:b w:val="false"/>
          <w:color w:val="000000"/>
          <w:sz w:val="20"/>
        </w:rPr>
        <w:t xml:space="preserve">b.Any fraud, whether or not material, that involves management or other employees who have a significant role in the registrant's internal control over financial reporting. </w:t>
      </w:r>
    </w:p>
    <w:p>
      <w:pPr>
        <w:pStyle w:val="TextBody"/>
        <w:bidi w:val="0"/>
        <w:spacing w:before="100" w:after="100"/>
        <w:ind w:left="0" w:right="0" w:hanging="540"/>
        <w:jc w:val="left"/>
        <w:rPr/>
      </w:pPr>
      <w:r>
        <w:rPr/>
      </w:r>
    </w:p>
    <w:p>
      <w:pPr>
        <w:pStyle w:val="TextBody"/>
        <w:bidi w:val="0"/>
        <w:spacing w:lineRule="auto" w:line="288" w:before="100" w:after="100"/>
        <w:jc w:val="left"/>
        <w:rPr>
          <w:rFonts w:ascii="Times New Roman;serif" w:hAnsi="Times New Roman;serif"/>
          <w:b w:val="false"/>
          <w:color w:val="000000"/>
          <w:sz w:val="20"/>
        </w:rPr>
      </w:pPr>
      <w:r>
        <w:rPr>
          <w:rFonts w:ascii="Times New Roman;serif" w:hAnsi="Times New Roman;serif"/>
          <w:b w:val="false"/>
          <w:color w:val="000000"/>
          <w:sz w:val="20"/>
        </w:rPr>
        <w:t>Date: August 6, 2026</w:t>
      </w:r>
    </w:p>
    <w:tbl>
      <w:tblPr>
        <w:tblW w:w="3333"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654"/>
        <w:gridCol w:w="654"/>
        <w:gridCol w:w="6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Anthony F. Pike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Anthony F. Pike</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0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 xml:space="preserve">Exhibit 32.1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CERTIFICATION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18 U.S.C. §1350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AS ADOPTED PURSUANT TO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SECTION 906 OF THE SARBANES-OXLEY ACT OF 2002 </w:t>
      </w:r>
    </w:p>
    <w:p>
      <w:pPr>
        <w:pStyle w:val="TextBody"/>
        <w:bidi w:val="0"/>
        <w:spacing w:before="100" w:after="100"/>
        <w:jc w:val="left"/>
        <w:rPr/>
      </w:pPr>
      <w:r>
        <w:rPr/>
      </w:r>
    </w:p>
    <w:p>
      <w:pPr>
        <w:pStyle w:val="TextBody"/>
        <w:bidi w:val="0"/>
        <w:spacing w:lineRule="auto" w:line="288" w:before="100" w:after="100"/>
        <w:jc w:val="both"/>
        <w:rPr>
          <w:rFonts w:ascii="Times New Roman;serif" w:hAnsi="Times New Roman;serif"/>
          <w:b w:val="false"/>
          <w:color w:val="000000"/>
          <w:sz w:val="20"/>
        </w:rPr>
      </w:pPr>
      <w:r>
        <w:rPr>
          <w:rFonts w:ascii="Times New Roman;serif" w:hAnsi="Times New Roman;serif"/>
          <w:b w:val="false"/>
          <w:color w:val="000000"/>
          <w:sz w:val="20"/>
        </w:rPr>
        <w:t xml:space="preserve">In connection with the Quarterly Report on Form 10-Q of KVH Industries, Inc. (the “Company”) for the quarter ended June 30, 2026, as filed with the Securities and Exchange Commission on the date hereof (the “Report”), each of the undersigned President, Chief Executive Officer and Director, and Chief Financial Officer of the Company, certifies, to his best knowledge and belief, pursuant to 18 U.S.C. § 1350, as adopted pursuant to Section 906 of the Sarbanes-Oxley Act of 2002, that: </w:t>
      </w:r>
    </w:p>
    <w:p>
      <w:pPr>
        <w:pStyle w:val="TextBody"/>
        <w:bidi w:val="0"/>
        <w:spacing w:before="100" w:after="100"/>
        <w:jc w:val="both"/>
        <w:rPr/>
      </w:pPr>
      <w:r>
        <w:rPr/>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Act of 1934; and</w:t>
      </w:r>
    </w:p>
    <w:p>
      <w:pPr>
        <w:pStyle w:val="TextBody"/>
        <w:bidi w:val="0"/>
        <w:spacing w:lineRule="auto" w:line="288" w:before="100" w:after="10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tbl>
      <w:tblPr>
        <w:tblW w:w="7434" w:type="dxa"/>
        <w:jc w:val="right"/>
        <w:tblInd w:w="0" w:type="dxa"/>
        <w:tblLayout w:type="fixed"/>
        <w:tblCellMar>
          <w:top w:w="28" w:type="dxa"/>
          <w:left w:w="28" w:type="dxa"/>
          <w:bottom w:w="28" w:type="dxa"/>
          <w:right w:w="28" w:type="dxa"/>
        </w:tblCellMar>
      </w:tblPr>
      <w:tblGrid>
        <w:gridCol w:w="216"/>
        <w:gridCol w:w="191"/>
        <w:gridCol w:w="192"/>
        <w:gridCol w:w="1302"/>
        <w:gridCol w:w="1302"/>
        <w:gridCol w:w="1310"/>
        <w:gridCol w:w="109"/>
        <w:gridCol w:w="109"/>
        <w:gridCol w:w="109"/>
        <w:gridCol w:w="194"/>
        <w:gridCol w:w="194"/>
        <w:gridCol w:w="196"/>
        <w:gridCol w:w="586"/>
        <w:gridCol w:w="586"/>
        <w:gridCol w:w="838"/>
      </w:tblGrid>
      <w:tr>
        <w:trPr/>
        <w:tc>
          <w:tcPr>
            <w:tcW w:w="21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02"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Brent C. Bruun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/s/ Anthony F. Pike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Brent C. Bruun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Anthony F. Pike</w:t>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100" w:after="100"/>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r>
        <w:trPr/>
        <w:tc>
          <w:tcPr>
            <w:tcW w:w="599"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4" w:type="dxa"/>
            <w:gridSpan w:val="3"/>
            <w:tcBorders/>
            <w:vAlign w:val="center"/>
          </w:tcPr>
          <w:p>
            <w:pPr>
              <w:pStyle w:val="TableContents"/>
              <w:bidi w:val="0"/>
              <w:spacing w:before="0" w:after="283"/>
              <w:jc w:val="left"/>
              <w:rPr>
                <w:sz w:val="4"/>
                <w:szCs w:val="4"/>
              </w:rPr>
            </w:pPr>
            <w:r>
              <w:rPr>
                <w:sz w:val="4"/>
                <w:szCs w:val="4"/>
              </w:rPr>
            </w:r>
          </w:p>
        </w:tc>
        <w:tc>
          <w:tcPr>
            <w:tcW w:w="2010" w:type="dxa"/>
            <w:gridSpan w:val="3"/>
            <w:tcBorders/>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Date: </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August 6, 2026</w:t>
            </w:r>
          </w:p>
        </w:tc>
      </w:tr>
    </w:tbl>
    <w:p>
      <w:pPr>
        <w:pStyle w:val="TextBody"/>
        <w:bidi w:val="0"/>
        <w:spacing w:before="0" w:after="10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007587/000119312510179682/dex31.htm" TargetMode="External"/><Relationship Id="rId3" Type="http://schemas.openxmlformats.org/officeDocument/2006/relationships/hyperlink" Target="https://www.sec.gov/Archives/edgar/data/1007587/000110465922092774/tm2223782d1_ex3-1.htm" TargetMode="External"/><Relationship Id="rId4" Type="http://schemas.openxmlformats.org/officeDocument/2006/relationships/hyperlink" Target="https://www.sec.gov/Archives/edgar/data/1007587/000100758717000038/kvhi1101201710qex32.htm" TargetMode="External"/><Relationship Id="rId5" Type="http://schemas.openxmlformats.org/officeDocument/2006/relationships/hyperlink" Target="https://www.sec.gov/Archives/edgar/data/1007587/000100758718000006/kvhi12312017ex41.htm"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17608</Words>
  <Characters>96403</Characters>
  <CharactersWithSpaces>113177</CharactersWithSpaces>
  <Paragraphs>1956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