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jc w:val="center"/>
        <w:spacing w:after="0" w:line="212" w:lineRule="auto"/>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40005</wp:posOffset>
            </wp:positionV>
            <wp:extent cx="207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2531745</wp:posOffset>
            </wp:positionH>
            <wp:positionV relativeFrom="paragraph">
              <wp:posOffset>61595</wp:posOffset>
            </wp:positionV>
            <wp:extent cx="20796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9625" cy="8255"/>
                    </a:xfrm>
                    <a:prstGeom prst="rect">
                      <a:avLst/>
                    </a:prstGeom>
                    <a:noFill/>
                  </pic:spPr>
                </pic:pic>
              </a:graphicData>
            </a:graphic>
          </wp:anchor>
        </w:drawing>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32" w:lineRule="exact"/>
        <w:rPr>
          <w:sz w:val="24"/>
          <w:szCs w:val="24"/>
          <w:color w:val="auto"/>
        </w:rPr>
      </w:pPr>
    </w:p>
    <w:p>
      <w:pPr>
        <w:ind w:left="680" w:right="380" w:hanging="658"/>
        <w:spacing w:after="0" w:line="233" w:lineRule="auto"/>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2025</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 w:lineRule="exact"/>
        <w:rPr>
          <w:sz w:val="24"/>
          <w:szCs w:val="24"/>
          <w:color w:val="auto"/>
        </w:rPr>
      </w:pPr>
    </w:p>
    <w:p>
      <w:pPr>
        <w:ind w:left="680" w:right="360" w:hanging="658"/>
        <w:spacing w:after="0" w:line="233" w:lineRule="auto"/>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1040" w:type="dxa"/>
        <w:tblCellMar>
          <w:top w:w="0" w:type="dxa"/>
          <w:left w:w="0" w:type="dxa"/>
          <w:bottom w:w="0" w:type="dxa"/>
          <w:right w:w="0" w:type="dxa"/>
        </w:tblCellMar>
      </w:tblPr>
      <w:tr>
        <w:trPr>
          <w:trHeight w:val="195"/>
        </w:trPr>
        <w:tc>
          <w:tcPr>
            <w:tcW w:w="2460" w:type="dxa"/>
            <w:vAlign w:val="bottom"/>
          </w:tcPr>
          <w:p>
            <w:pPr>
              <w:spacing w:after="0"/>
              <w:rPr>
                <w:sz w:val="17"/>
                <w:szCs w:val="17"/>
                <w:color w:val="auto"/>
              </w:rPr>
            </w:pP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30"/>
        </w:trPr>
        <w:tc>
          <w:tcPr>
            <w:tcW w:w="2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7"/>
                <w:szCs w:val="17"/>
                <w:b w:val="1"/>
                <w:bCs w:val="1"/>
                <w:color w:val="auto"/>
              </w:rPr>
              <w:t>Commission File Number 0-28082</w:t>
            </w:r>
          </w:p>
        </w:tc>
      </w:tr>
      <w:tr>
        <w:trPr>
          <w:trHeight w:val="59"/>
        </w:trPr>
        <w:tc>
          <w:tcPr>
            <w:tcW w:w="2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80" w:type="dxa"/>
            <w:vAlign w:val="bottom"/>
            <w:tcBorders>
              <w:bottom w:val="single" w:sz="8" w:color="auto"/>
            </w:tcBorders>
            <w:gridSpan w:val="2"/>
          </w:tcPr>
          <w:p>
            <w:pPr>
              <w:spacing w:after="0"/>
              <w:rPr>
                <w:sz w:val="5"/>
                <w:szCs w:val="5"/>
                <w:color w:val="auto"/>
              </w:rPr>
            </w:pPr>
          </w:p>
        </w:tc>
        <w:tc>
          <w:tcPr>
            <w:tcW w:w="3300" w:type="dxa"/>
            <w:vAlign w:val="bottom"/>
          </w:tcPr>
          <w:p>
            <w:pPr>
              <w:spacing w:after="0"/>
              <w:rPr>
                <w:sz w:val="5"/>
                <w:szCs w:val="5"/>
                <w:color w:val="auto"/>
              </w:rPr>
            </w:pPr>
          </w:p>
        </w:tc>
      </w:tr>
      <w:tr>
        <w:trPr>
          <w:trHeight w:val="484"/>
        </w:trPr>
        <w:tc>
          <w:tcPr>
            <w:tcW w:w="2460" w:type="dxa"/>
            <w:vAlign w:val="bottom"/>
          </w:tcPr>
          <w:p>
            <w:pPr>
              <w:spacing w:after="0"/>
              <w:rPr>
                <w:sz w:val="24"/>
                <w:szCs w:val="24"/>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42"/>
                <w:szCs w:val="42"/>
                <w:b w:val="1"/>
                <w:bCs w:val="1"/>
                <w:color w:val="auto"/>
                <w:w w:val="99"/>
              </w:rPr>
              <w:t>KVH Industries, Inc.</w:t>
            </w:r>
          </w:p>
        </w:tc>
      </w:tr>
      <w:tr>
        <w:trPr>
          <w:trHeight w:val="230"/>
        </w:trPr>
        <w:tc>
          <w:tcPr>
            <w:tcW w:w="2460" w:type="dxa"/>
            <w:vAlign w:val="bottom"/>
          </w:tcPr>
          <w:p>
            <w:pPr>
              <w:spacing w:after="0"/>
              <w:rPr>
                <w:sz w:val="19"/>
                <w:szCs w:val="19"/>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53"/>
        </w:trPr>
        <w:tc>
          <w:tcPr>
            <w:tcW w:w="2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300" w:type="dxa"/>
            <w:vAlign w:val="bottom"/>
          </w:tcPr>
          <w:p>
            <w:pPr>
              <w:spacing w:after="0"/>
              <w:rPr>
                <w:sz w:val="4"/>
                <w:szCs w:val="4"/>
                <w:color w:val="auto"/>
              </w:rPr>
            </w:pPr>
          </w:p>
        </w:tc>
      </w:tr>
      <w:tr>
        <w:trPr>
          <w:trHeight w:val="297"/>
        </w:trPr>
        <w:tc>
          <w:tcPr>
            <w:tcW w:w="2460" w:type="dxa"/>
            <w:vAlign w:val="bottom"/>
          </w:tcPr>
          <w:p>
            <w:pPr>
              <w:ind w:left="148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gridSpan w:val="2"/>
          </w:tcPr>
          <w:p>
            <w:pPr>
              <w:jc w:val="right"/>
              <w:ind w:right="1750"/>
              <w:spacing w:after="0"/>
              <w:rPr>
                <w:sz w:val="20"/>
                <w:szCs w:val="20"/>
                <w:color w:val="auto"/>
              </w:rPr>
            </w:pPr>
            <w:r>
              <w:rPr>
                <w:rFonts w:ascii="Times New Roman" w:cs="Times New Roman" w:eastAsia="Times New Roman" w:hAnsi="Times New Roman"/>
                <w:sz w:val="14"/>
                <w:szCs w:val="14"/>
                <w:b w:val="1"/>
                <w:bCs w:val="1"/>
                <w:color w:val="auto"/>
              </w:rPr>
              <w:t>05-0420589</w:t>
            </w:r>
          </w:p>
        </w:tc>
      </w:tr>
      <w:tr>
        <w:trPr>
          <w:trHeight w:val="196"/>
        </w:trPr>
        <w:tc>
          <w:tcPr>
            <w:tcW w:w="54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740" w:type="dxa"/>
            <w:vAlign w:val="bottom"/>
          </w:tcPr>
          <w:p>
            <w:pPr>
              <w:spacing w:after="0"/>
              <w:rPr>
                <w:sz w:val="17"/>
                <w:szCs w:val="17"/>
                <w:color w:val="auto"/>
              </w:rPr>
            </w:pPr>
          </w:p>
        </w:tc>
        <w:tc>
          <w:tcPr>
            <w:tcW w:w="3300" w:type="dxa"/>
            <w:vAlign w:val="bottom"/>
          </w:tcPr>
          <w:p>
            <w:pPr>
              <w:jc w:val="center"/>
              <w:ind w:right="950"/>
              <w:spacing w:after="0"/>
              <w:rPr>
                <w:sz w:val="20"/>
                <w:szCs w:val="20"/>
                <w:color w:val="auto"/>
              </w:rPr>
            </w:pPr>
            <w:r>
              <w:rPr>
                <w:rFonts w:ascii="Times New Roman" w:cs="Times New Roman" w:eastAsia="Times New Roman" w:hAnsi="Times New Roman"/>
                <w:sz w:val="14"/>
                <w:szCs w:val="14"/>
                <w:i w:val="1"/>
                <w:iCs w:val="1"/>
                <w:color w:val="auto"/>
                <w:w w:val="99"/>
              </w:rPr>
              <w:t>(I.R.S. Employer Identification Number)</w:t>
            </w:r>
          </w:p>
        </w:tc>
      </w:tr>
      <w:tr>
        <w:trPr>
          <w:trHeight w:val="248"/>
        </w:trPr>
        <w:tc>
          <w:tcPr>
            <w:tcW w:w="2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580" w:type="dxa"/>
            <w:vAlign w:val="bottom"/>
            <w:gridSpan w:val="3"/>
          </w:tcPr>
          <w:p>
            <w:pPr>
              <w:jc w:val="center"/>
              <w:ind w:right="3230"/>
              <w:spacing w:after="0"/>
              <w:rPr>
                <w:sz w:val="20"/>
                <w:szCs w:val="20"/>
                <w:color w:val="auto"/>
              </w:rPr>
            </w:pPr>
            <w:r>
              <w:rPr>
                <w:rFonts w:ascii="Times New Roman" w:cs="Times New Roman" w:eastAsia="Times New Roman" w:hAnsi="Times New Roman"/>
                <w:sz w:val="14"/>
                <w:szCs w:val="14"/>
                <w:b w:val="1"/>
                <w:bCs w:val="1"/>
                <w:color w:val="auto"/>
                <w:w w:val="99"/>
              </w:rPr>
              <w:t>75 Enterprise Center, Middletown, RI 02842</w:t>
            </w:r>
          </w:p>
        </w:tc>
      </w:tr>
      <w:tr>
        <w:trPr>
          <w:trHeight w:val="157"/>
        </w:trPr>
        <w:tc>
          <w:tcPr>
            <w:tcW w:w="2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580" w:type="dxa"/>
            <w:vAlign w:val="bottom"/>
            <w:gridSpan w:val="3"/>
          </w:tcPr>
          <w:p>
            <w:pPr>
              <w:jc w:val="center"/>
              <w:ind w:right="3210"/>
              <w:spacing w:after="0" w:line="157" w:lineRule="exact"/>
              <w:rPr>
                <w:sz w:val="20"/>
                <w:szCs w:val="20"/>
                <w:color w:val="auto"/>
              </w:rPr>
            </w:pPr>
            <w:r>
              <w:rPr>
                <w:rFonts w:ascii="Times New Roman" w:cs="Times New Roman" w:eastAsia="Times New Roman" w:hAnsi="Times New Roman"/>
                <w:sz w:val="14"/>
                <w:szCs w:val="14"/>
                <w:i w:val="1"/>
                <w:iCs w:val="1"/>
                <w:color w:val="auto"/>
                <w:w w:val="99"/>
              </w:rPr>
              <w:t>(Address of Principal Executive Offices) (Zip Code)</w:t>
            </w:r>
          </w:p>
        </w:tc>
      </w:tr>
      <w:tr>
        <w:trPr>
          <w:trHeight w:val="172"/>
        </w:trPr>
        <w:tc>
          <w:tcPr>
            <w:tcW w:w="2460" w:type="dxa"/>
            <w:vAlign w:val="bottom"/>
          </w:tcPr>
          <w:p>
            <w:pPr>
              <w:spacing w:after="0"/>
              <w:rPr>
                <w:sz w:val="14"/>
                <w:szCs w:val="14"/>
                <w:color w:val="auto"/>
              </w:rPr>
            </w:pPr>
          </w:p>
        </w:tc>
        <w:tc>
          <w:tcPr>
            <w:tcW w:w="3020" w:type="dxa"/>
            <w:vAlign w:val="bottom"/>
            <w:gridSpan w:val="2"/>
          </w:tcPr>
          <w:p>
            <w:pPr>
              <w:jc w:val="center"/>
              <w:ind w:left="1112"/>
              <w:spacing w:after="0"/>
              <w:rPr>
                <w:sz w:val="20"/>
                <w:szCs w:val="20"/>
                <w:color w:val="auto"/>
              </w:rPr>
            </w:pPr>
            <w:r>
              <w:rPr>
                <w:rFonts w:ascii="Times New Roman" w:cs="Times New Roman" w:eastAsia="Times New Roman" w:hAnsi="Times New Roman"/>
                <w:sz w:val="14"/>
                <w:szCs w:val="14"/>
                <w:b w:val="1"/>
                <w:bCs w:val="1"/>
                <w:color w:val="auto"/>
              </w:rPr>
              <w:t>(401) 847-3327</w:t>
            </w: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2"/>
        </w:trPr>
        <w:tc>
          <w:tcPr>
            <w:tcW w:w="2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580" w:type="dxa"/>
            <w:vAlign w:val="bottom"/>
            <w:gridSpan w:val="3"/>
          </w:tcPr>
          <w:p>
            <w:pPr>
              <w:jc w:val="center"/>
              <w:ind w:right="3210"/>
              <w:spacing w:after="0"/>
              <w:rPr>
                <w:sz w:val="20"/>
                <w:szCs w:val="20"/>
                <w:color w:val="auto"/>
              </w:rPr>
            </w:pPr>
            <w:r>
              <w:rPr>
                <w:rFonts w:ascii="Times New Roman" w:cs="Times New Roman" w:eastAsia="Times New Roman" w:hAnsi="Times New Roman"/>
                <w:sz w:val="14"/>
                <w:szCs w:val="14"/>
                <w:color w:val="auto"/>
                <w:w w:val="98"/>
              </w:rPr>
              <w:t>(Registrant’s Telephone Number, Including Area Code)</w:t>
            </w:r>
          </w:p>
        </w:tc>
      </w:tr>
      <w:tr>
        <w:trPr>
          <w:trHeight w:val="89"/>
        </w:trPr>
        <w:tc>
          <w:tcPr>
            <w:tcW w:w="2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80" w:type="dxa"/>
            <w:vAlign w:val="bottom"/>
            <w:tcBorders>
              <w:bottom w:val="single" w:sz="8" w:color="auto"/>
            </w:tcBorders>
            <w:gridSpan w:val="2"/>
          </w:tcPr>
          <w:p>
            <w:pPr>
              <w:spacing w:after="0"/>
              <w:rPr>
                <w:sz w:val="7"/>
                <w:szCs w:val="7"/>
                <w:color w:val="auto"/>
              </w:rPr>
            </w:pPr>
          </w:p>
        </w:tc>
        <w:tc>
          <w:tcPr>
            <w:tcW w:w="3300" w:type="dxa"/>
            <w:vAlign w:val="bottom"/>
          </w:tcPr>
          <w:p>
            <w:pPr>
              <w:spacing w:after="0"/>
              <w:rPr>
                <w:sz w:val="7"/>
                <w:szCs w:val="7"/>
                <w:color w:val="auto"/>
              </w:rPr>
            </w:pPr>
          </w:p>
        </w:tc>
      </w:tr>
      <w:tr>
        <w:trPr>
          <w:trHeight w:val="270"/>
        </w:trPr>
        <w:tc>
          <w:tcPr>
            <w:tcW w:w="2460" w:type="dxa"/>
            <w:vAlign w:val="bottom"/>
          </w:tcPr>
          <w:p>
            <w:pPr>
              <w:spacing w:after="0"/>
              <w:rPr>
                <w:sz w:val="23"/>
                <w:szCs w:val="23"/>
                <w:color w:val="auto"/>
              </w:rPr>
            </w:pPr>
          </w:p>
        </w:tc>
        <w:tc>
          <w:tcPr>
            <w:tcW w:w="7060" w:type="dxa"/>
            <w:vAlign w:val="bottom"/>
            <w:gridSpan w:val="4"/>
          </w:tcPr>
          <w:p>
            <w:pPr>
              <w:jc w:val="center"/>
              <w:ind w:right="2730"/>
              <w:spacing w:after="0"/>
              <w:rPr>
                <w:sz w:val="20"/>
                <w:szCs w:val="20"/>
                <w:color w:val="auto"/>
              </w:rPr>
            </w:pPr>
            <w:r>
              <w:rPr>
                <w:rFonts w:ascii="Times New Roman" w:cs="Times New Roman" w:eastAsia="Times New Roman" w:hAnsi="Times New Roman"/>
                <w:sz w:val="17"/>
                <w:szCs w:val="17"/>
                <w:i w:val="1"/>
                <w:iCs w:val="1"/>
                <w:color w:val="auto"/>
              </w:rPr>
              <w:t>Securities registered pursuant to Section 12(b) of the Act:</w:t>
            </w:r>
          </w:p>
        </w:tc>
      </w:tr>
      <w:tr>
        <w:trPr>
          <w:trHeight w:val="184"/>
        </w:trPr>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16"/>
                <w:szCs w:val="16"/>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740" w:type="dxa"/>
            <w:vAlign w:val="bottom"/>
          </w:tcPr>
          <w:p>
            <w:pPr>
              <w:spacing w:after="0"/>
              <w:rPr>
                <w:sz w:val="16"/>
                <w:szCs w:val="16"/>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6"/>
        </w:trPr>
        <w:tc>
          <w:tcPr>
            <w:tcW w:w="2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00" w:type="dxa"/>
            <w:vAlign w:val="bottom"/>
          </w:tcPr>
          <w:p>
            <w:pPr>
              <w:jc w:val="center"/>
              <w:ind w:left="510"/>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236"/>
        </w:trPr>
        <w:tc>
          <w:tcPr>
            <w:tcW w:w="24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480" w:type="dxa"/>
            <w:vAlign w:val="bottom"/>
          </w:tcPr>
          <w:p>
            <w:pPr>
              <w:spacing w:after="0"/>
              <w:rPr>
                <w:sz w:val="20"/>
                <w:szCs w:val="20"/>
                <w:color w:val="auto"/>
              </w:rPr>
            </w:pPr>
          </w:p>
        </w:tc>
        <w:tc>
          <w:tcPr>
            <w:tcW w:w="2540" w:type="dxa"/>
            <w:vAlign w:val="bottom"/>
          </w:tcPr>
          <w:p>
            <w:pPr>
              <w:jc w:val="center"/>
              <w:ind w:left="1007"/>
              <w:spacing w:after="0"/>
              <w:rPr>
                <w:sz w:val="20"/>
                <w:szCs w:val="20"/>
                <w:color w:val="auto"/>
              </w:rPr>
            </w:pPr>
            <w:r>
              <w:rPr>
                <w:rFonts w:ascii="Times New Roman" w:cs="Times New Roman" w:eastAsia="Times New Roman" w:hAnsi="Times New Roman"/>
                <w:sz w:val="14"/>
                <w:szCs w:val="14"/>
                <w:color w:val="auto"/>
                <w:w w:val="97"/>
              </w:rPr>
              <w:t>KVHI</w:t>
            </w:r>
          </w:p>
        </w:tc>
        <w:tc>
          <w:tcPr>
            <w:tcW w:w="740" w:type="dxa"/>
            <w:vAlign w:val="bottom"/>
          </w:tcPr>
          <w:p>
            <w:pPr>
              <w:spacing w:after="0"/>
              <w:rPr>
                <w:sz w:val="20"/>
                <w:szCs w:val="20"/>
                <w:color w:val="auto"/>
              </w:rPr>
            </w:pPr>
          </w:p>
        </w:tc>
        <w:tc>
          <w:tcPr>
            <w:tcW w:w="3300" w:type="dxa"/>
            <w:vAlign w:val="bottom"/>
          </w:tcPr>
          <w:p>
            <w:pPr>
              <w:jc w:val="center"/>
              <w:ind w:left="530"/>
              <w:spacing w:after="0"/>
              <w:rPr>
                <w:sz w:val="20"/>
                <w:szCs w:val="20"/>
                <w:color w:val="auto"/>
              </w:rPr>
            </w:pPr>
            <w:r>
              <w:rPr>
                <w:rFonts w:ascii="Times New Roman" w:cs="Times New Roman" w:eastAsia="Times New Roman" w:hAnsi="Times New Roman"/>
                <w:sz w:val="14"/>
                <w:szCs w:val="14"/>
                <w:color w:val="auto"/>
                <w:w w:val="99"/>
              </w:rPr>
              <w:t>(Nasdaq Global Select Market)</w:t>
            </w:r>
          </w:p>
        </w:tc>
      </w:tr>
    </w:tbl>
    <w:p>
      <w:pPr>
        <w:spacing w:after="0" w:line="200" w:lineRule="exact"/>
        <w:rPr>
          <w:sz w:val="24"/>
          <w:szCs w:val="24"/>
          <w:color w:val="auto"/>
        </w:rPr>
      </w:pPr>
    </w:p>
    <w:p>
      <w:pPr>
        <w:spacing w:after="0" w:line="368"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196" w:lineRule="exact"/>
        <w:tabs>
          <w:tab w:leader="none" w:pos="1320" w:val="left"/>
        </w:tabs>
        <w:rPr>
          <w:sz w:val="20"/>
          <w:szCs w:val="20"/>
          <w:color w:val="auto"/>
        </w:rPr>
      </w:pPr>
      <w:r>
        <w:rPr>
          <w:rFonts w:ascii="Times New Roman" w:cs="Times New Roman" w:eastAsia="Times New Roman" w:hAnsi="Times New Roman"/>
          <w:sz w:val="17"/>
          <w:szCs w:val="17"/>
          <w:color w:val="auto"/>
        </w:rPr>
        <w:t>the past 90 days.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5"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196" w:lineRule="exact"/>
        <w:tabs>
          <w:tab w:leader="none" w:pos="560" w:val="left"/>
          <w:tab w:leader="none" w:pos="1180" w:val="left"/>
        </w:tabs>
        <w:rPr>
          <w:sz w:val="20"/>
          <w:szCs w:val="20"/>
          <w:color w:val="auto"/>
        </w:rPr>
      </w:pPr>
      <w:r>
        <w:rPr>
          <w:rFonts w:ascii="Times New Roman" w:cs="Times New Roman" w:eastAsia="Times New Roman" w:hAnsi="Times New Roman"/>
          <w:sz w:val="17"/>
          <w:szCs w:val="17"/>
          <w:color w:val="auto"/>
        </w:rPr>
        <w:t>files).</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line="22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Rule 12b-2 of the Exchange Act.</w:t>
      </w:r>
    </w:p>
    <w:tbl>
      <w:tblPr>
        <w:tblLayout w:type="fixed"/>
        <w:tblInd w:w="20" w:type="dxa"/>
        <w:tblCellMar>
          <w:top w:w="0" w:type="dxa"/>
          <w:left w:w="0" w:type="dxa"/>
          <w:bottom w:w="0" w:type="dxa"/>
          <w:right w:w="0" w:type="dxa"/>
        </w:tblCellMar>
      </w:tblPr>
      <w:tr>
        <w:trPr>
          <w:trHeight w:val="191"/>
        </w:trPr>
        <w:tc>
          <w:tcPr>
            <w:tcW w:w="188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Large 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line="191" w:lineRule="exact"/>
              <w:rPr>
                <w:sz w:val="20"/>
                <w:szCs w:val="20"/>
                <w:color w:val="auto"/>
              </w:rPr>
            </w:pPr>
            <w:r>
              <w:rPr>
                <w:rFonts w:ascii="Times New Roman" w:cs="Times New Roman" w:eastAsia="Times New Roman" w:hAnsi="Times New Roman"/>
                <w:sz w:val="17"/>
                <w:szCs w:val="17"/>
                <w:color w:val="auto"/>
              </w:rPr>
              <w:t>Accelerated filer</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3"/>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4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4"/>
        </w:trPr>
        <w:tc>
          <w:tcPr>
            <w:tcW w:w="1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5220" w:type="dxa"/>
            <w:vAlign w:val="bottom"/>
          </w:tcPr>
          <w:p>
            <w:pPr>
              <w:ind w:left="2900"/>
              <w:spacing w:after="0"/>
              <w:rPr>
                <w:sz w:val="20"/>
                <w:szCs w:val="20"/>
                <w:color w:val="auto"/>
              </w:rPr>
            </w:pPr>
            <w:r>
              <w:rPr>
                <w:rFonts w:ascii="Times New Roman" w:cs="Times New Roman" w:eastAsia="Times New Roman" w:hAnsi="Times New Roman"/>
                <w:sz w:val="17"/>
                <w:szCs w:val="17"/>
                <w:color w:val="auto"/>
              </w:rPr>
              <w:t>Emerging growth company</w:t>
            </w:r>
          </w:p>
        </w:tc>
        <w:tc>
          <w:tcPr>
            <w:tcW w:w="580" w:type="dxa"/>
            <w:vAlign w:val="bottom"/>
          </w:tcPr>
          <w:p>
            <w:pPr>
              <w:ind w:left="4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46" w:lineRule="exact"/>
        <w:rPr>
          <w:sz w:val="24"/>
          <w:szCs w:val="24"/>
          <w:color w:val="auto"/>
        </w:rPr>
      </w:pPr>
    </w:p>
    <w:p>
      <w:pPr>
        <w:spacing w:after="0" w:line="21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3" w:lineRule="exact"/>
        <w:rPr>
          <w:sz w:val="24"/>
          <w:szCs w:val="24"/>
          <w:color w:val="auto"/>
        </w:rPr>
      </w:pPr>
    </w:p>
    <w:p>
      <w:pPr>
        <w:spacing w:after="0" w:line="196" w:lineRule="exact"/>
        <w:tabs>
          <w:tab w:leader="none" w:pos="808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720" w:type="dxa"/>
            <w:vAlign w:val="bottom"/>
            <w:gridSpan w:val="2"/>
          </w:tcPr>
          <w:p>
            <w:pPr>
              <w:jc w:val="center"/>
              <w:ind w:right="144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220" w:type="dxa"/>
            <w:vAlign w:val="bottom"/>
          </w:tcPr>
          <w:p>
            <w:pPr>
              <w:spacing w:after="0"/>
              <w:rPr>
                <w:sz w:val="13"/>
                <w:szCs w:val="13"/>
                <w:color w:val="auto"/>
              </w:rPr>
            </w:pPr>
          </w:p>
        </w:tc>
        <w:tc>
          <w:tcPr>
            <w:tcW w:w="3560" w:type="dxa"/>
            <w:vAlign w:val="bottom"/>
            <w:gridSpan w:val="2"/>
          </w:tcPr>
          <w:p>
            <w:pPr>
              <w:jc w:val="center"/>
              <w:ind w:right="324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2240" w:type="dxa"/>
            <w:vAlign w:val="bottom"/>
            <w:gridSpan w:val="2"/>
          </w:tcPr>
          <w:p>
            <w:pPr>
              <w:jc w:val="center"/>
              <w:ind w:right="1080"/>
              <w:spacing w:after="0"/>
              <w:rPr>
                <w:sz w:val="20"/>
                <w:szCs w:val="20"/>
                <w:color w:val="auto"/>
              </w:rPr>
            </w:pPr>
            <w:r>
              <w:rPr>
                <w:rFonts w:ascii="Times New Roman" w:cs="Times New Roman" w:eastAsia="Times New Roman" w:hAnsi="Times New Roman"/>
                <w:sz w:val="14"/>
                <w:szCs w:val="14"/>
                <w:b w:val="1"/>
                <w:bCs w:val="1"/>
                <w:color w:val="auto"/>
                <w:w w:val="99"/>
              </w:rPr>
              <w:t>Outstanding shares</w:t>
            </w:r>
          </w:p>
        </w:tc>
      </w:tr>
      <w:tr>
        <w:trPr>
          <w:trHeight w:val="20"/>
        </w:trPr>
        <w:tc>
          <w:tcPr>
            <w:tcW w:w="1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rPr>
              <w:t>November 3, 2025</w:t>
            </w:r>
          </w:p>
        </w:tc>
        <w:tc>
          <w:tcPr>
            <w:tcW w:w="5780" w:type="dxa"/>
            <w:vAlign w:val="bottom"/>
            <w:gridSpan w:val="3"/>
          </w:tcPr>
          <w:p>
            <w:pPr>
              <w:jc w:val="center"/>
              <w:ind w:right="1000"/>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160" w:type="dxa"/>
            <w:vAlign w:val="bottom"/>
          </w:tcPr>
          <w:p>
            <w:pPr>
              <w:jc w:val="right"/>
              <w:ind w:right="121"/>
              <w:spacing w:after="0"/>
              <w:rPr>
                <w:sz w:val="20"/>
                <w:szCs w:val="20"/>
                <w:color w:val="auto"/>
              </w:rPr>
            </w:pPr>
            <w:r>
              <w:rPr>
                <w:rFonts w:ascii="Times New Roman" w:cs="Times New Roman" w:eastAsia="Times New Roman" w:hAnsi="Times New Roman"/>
                <w:sz w:val="17"/>
                <w:szCs w:val="17"/>
                <w:color w:val="auto"/>
              </w:rPr>
              <w:t>19,573,251</w:t>
            </w:r>
          </w:p>
        </w:tc>
        <w:tc>
          <w:tcPr>
            <w:tcW w:w="1080" w:type="dxa"/>
            <w:vAlign w:val="bottom"/>
          </w:tcPr>
          <w:p>
            <w:pPr>
              <w:spacing w:after="0"/>
              <w:rPr>
                <w:sz w:val="22"/>
                <w:szCs w:val="22"/>
                <w:color w:val="auto"/>
              </w:rPr>
            </w:pPr>
          </w:p>
        </w:tc>
      </w:tr>
      <w:tr>
        <w:trPr>
          <w:trHeight w:val="1002"/>
        </w:trPr>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560" w:type="dxa"/>
            <w:vAlign w:val="bottom"/>
            <w:gridSpan w:val="10"/>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180" w:type="dxa"/>
            <w:vAlign w:val="bottom"/>
            <w:gridSpan w:val="8"/>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Form 10-Q</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180" w:type="dxa"/>
            <w:vAlign w:val="bottom"/>
            <w:gridSpan w:val="8"/>
          </w:tcPr>
          <w:p>
            <w:pPr>
              <w:jc w:val="center"/>
              <w:ind w:right="4180"/>
              <w:spacing w:after="0"/>
              <w:rPr>
                <w:sz w:val="20"/>
                <w:szCs w:val="20"/>
                <w:color w:val="auto"/>
              </w:rPr>
            </w:pPr>
            <w:r>
              <w:rPr>
                <w:rFonts w:ascii="Times New Roman" w:cs="Times New Roman" w:eastAsia="Times New Roman" w:hAnsi="Times New Roman"/>
                <w:sz w:val="17"/>
                <w:szCs w:val="17"/>
                <w:b w:val="1"/>
                <w:bCs w:val="1"/>
                <w:color w:val="auto"/>
              </w:rPr>
              <w:t>INDEX</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298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7160" w:type="dxa"/>
            <w:vAlign w:val="bottom"/>
            <w:gridSpan w:val="11"/>
            <w:vMerge w:val="restart"/>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w w:val="99"/>
              </w:rPr>
              <w:t>Page No.</w:t>
            </w:r>
          </w:p>
        </w:tc>
        <w:tc>
          <w:tcPr>
            <w:tcW w:w="0" w:type="dxa"/>
            <w:vAlign w:val="bottom"/>
          </w:tcPr>
          <w:p>
            <w:pPr>
              <w:spacing w:after="0"/>
              <w:rPr>
                <w:sz w:val="1"/>
                <w:szCs w:val="1"/>
                <w:color w:val="auto"/>
              </w:rPr>
            </w:pPr>
          </w:p>
        </w:tc>
      </w:tr>
      <w:tr>
        <w:trPr>
          <w:trHeight w:val="208"/>
        </w:trPr>
        <w:tc>
          <w:tcPr>
            <w:tcW w:w="160" w:type="dxa"/>
            <w:vAlign w:val="bottom"/>
          </w:tcPr>
          <w:p>
            <w:pPr>
              <w:spacing w:after="0"/>
              <w:rPr>
                <w:sz w:val="17"/>
                <w:szCs w:val="17"/>
                <w:color w:val="auto"/>
              </w:rPr>
            </w:pPr>
          </w:p>
        </w:tc>
        <w:tc>
          <w:tcPr>
            <w:tcW w:w="2980" w:type="dxa"/>
            <w:vAlign w:val="bottom"/>
            <w:tcBorders>
              <w:bottom w:val="single" w:sz="8" w:color="0000FF"/>
            </w:tcBorders>
            <w:gridSpan w:val="7"/>
            <w:vMerge w:val="continue"/>
          </w:tcPr>
          <w:p>
            <w:pPr>
              <w:spacing w:after="0"/>
              <w:rPr>
                <w:sz w:val="17"/>
                <w:szCs w:val="17"/>
                <w:color w:val="auto"/>
              </w:rPr>
            </w:pPr>
          </w:p>
        </w:tc>
        <w:tc>
          <w:tcPr>
            <w:tcW w:w="7160" w:type="dxa"/>
            <w:vAlign w:val="bottom"/>
            <w:gridSpan w:val="11"/>
            <w:vMerge w:val="continue"/>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8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INTERIM FINANCIAL STATEMENTS</w:t>
            </w:r>
          </w:p>
        </w:tc>
        <w:tc>
          <w:tcPr>
            <w:tcW w:w="622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Balance Sheets as of September 30, 2025 (unaudited) and December 31, 2024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Operations for the three and nine months ended September 30, 2025 and 2024 (unaudited)</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Consolidated Statements of Comprehensive Loss for the three and nine months ended September 30, 2025 and 2024</w:t>
            </w:r>
          </w:p>
        </w:tc>
        <w:tc>
          <w:tcPr>
            <w:tcW w:w="8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5</w:t>
            </w: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120" w:type="dxa"/>
            <w:vAlign w:val="bottom"/>
            <w:tcBorders>
              <w:top w:val="single" w:sz="8" w:color="0000FF"/>
            </w:tcBorders>
            <w:gridSpan w:val="12"/>
          </w:tcPr>
          <w:p>
            <w:pPr>
              <w:spacing w:after="0" w:line="150" w:lineRule="exact"/>
              <w:rPr>
                <w:sz w:val="20"/>
                <w:szCs w:val="20"/>
                <w:color w:val="auto"/>
              </w:rPr>
            </w:pPr>
            <w:r>
              <w:rPr>
                <w:rFonts w:ascii="Times New Roman" w:cs="Times New Roman" w:eastAsia="Times New Roman" w:hAnsi="Times New Roman"/>
                <w:sz w:val="17"/>
                <w:szCs w:val="17"/>
                <w:color w:val="0000FF"/>
              </w:rPr>
              <w:t>(unaudited)</w:t>
            </w:r>
          </w:p>
        </w:tc>
        <w:tc>
          <w:tcPr>
            <w:tcW w:w="20" w:type="dxa"/>
            <w:vAlign w:val="bottom"/>
          </w:tcPr>
          <w:p>
            <w:pPr>
              <w:spacing w:after="0"/>
              <w:rPr>
                <w:sz w:val="13"/>
                <w:szCs w:val="13"/>
                <w:color w:val="auto"/>
              </w:rPr>
            </w:pPr>
          </w:p>
        </w:tc>
        <w:tc>
          <w:tcPr>
            <w:tcW w:w="50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three and nine months ended September 30, 2025 and 2024</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50"/>
        </w:trPr>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140" w:type="dxa"/>
            <w:vAlign w:val="bottom"/>
            <w:tcBorders>
              <w:top w:val="single" w:sz="8" w:color="0000FF"/>
            </w:tcBorders>
            <w:gridSpan w:val="13"/>
          </w:tcPr>
          <w:p>
            <w:pPr>
              <w:spacing w:after="0" w:line="150" w:lineRule="exact"/>
              <w:rPr>
                <w:sz w:val="20"/>
                <w:szCs w:val="20"/>
                <w:color w:val="auto"/>
              </w:rPr>
            </w:pPr>
            <w:r>
              <w:rPr>
                <w:rFonts w:ascii="Times New Roman" w:cs="Times New Roman" w:eastAsia="Times New Roman" w:hAnsi="Times New Roman"/>
                <w:sz w:val="17"/>
                <w:szCs w:val="17"/>
                <w:color w:val="0000FF"/>
              </w:rPr>
              <w:t>(unaudited)</w:t>
            </w:r>
          </w:p>
        </w:tc>
        <w:tc>
          <w:tcPr>
            <w:tcW w:w="50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nine months ended September 30, 2025 and 2024 (unaudited)</w:t>
            </w:r>
          </w:p>
        </w:tc>
        <w:tc>
          <w:tcPr>
            <w:tcW w:w="144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 (unaudited)</w:t>
            </w:r>
          </w:p>
        </w:tc>
        <w:tc>
          <w:tcPr>
            <w:tcW w:w="14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w w:val="70"/>
              </w:rPr>
              <w:t>8</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360" w:type="dxa"/>
            <w:vAlign w:val="bottom"/>
            <w:gridSpan w:val="3"/>
            <w:shd w:val="clear" w:color="auto" w:fill="0000FF"/>
          </w:tcPr>
          <w:p>
            <w:pPr>
              <w:spacing w:after="0" w:line="20" w:lineRule="exact"/>
              <w:rPr>
                <w:sz w:val="1"/>
                <w:szCs w:val="1"/>
                <w:color w:val="auto"/>
              </w:rPr>
            </w:pPr>
          </w:p>
        </w:tc>
        <w:tc>
          <w:tcPr>
            <w:tcW w:w="276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864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4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14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12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400" w:type="dxa"/>
            <w:vAlign w:val="bottom"/>
            <w:tcBorders>
              <w:top w:val="single" w:sz="8" w:color="0000FF"/>
            </w:tcBorders>
          </w:tcPr>
          <w:p>
            <w:pPr>
              <w:spacing w:after="0"/>
              <w:rPr>
                <w:sz w:val="17"/>
                <w:szCs w:val="17"/>
                <w:color w:val="auto"/>
              </w:rPr>
            </w:pPr>
          </w:p>
        </w:tc>
        <w:tc>
          <w:tcPr>
            <w:tcW w:w="7460" w:type="dxa"/>
            <w:vAlign w:val="bottom"/>
            <w:gridSpan w:val="13"/>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4060" w:type="dxa"/>
            <w:vAlign w:val="bottom"/>
            <w:gridSpan w:val="5"/>
            <w:shd w:val="clear" w:color="auto" w:fill="0000FF"/>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58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3200" w:type="dxa"/>
            <w:vAlign w:val="bottom"/>
            <w:gridSpan w:val="7"/>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7260" w:type="dxa"/>
            <w:vAlign w:val="bottom"/>
            <w:gridSpan w:val="12"/>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800" w:type="dxa"/>
            <w:vAlign w:val="bottom"/>
          </w:tcPr>
          <w:p>
            <w:pPr>
              <w:spacing w:after="0"/>
              <w:rPr>
                <w:sz w:val="20"/>
                <w:szCs w:val="20"/>
                <w:color w:val="auto"/>
              </w:rPr>
            </w:pPr>
            <w:r>
              <w:rPr>
                <w:rFonts w:ascii="Times New Roman" w:cs="Times New Roman" w:eastAsia="Times New Roman" w:hAnsi="Times New Roman"/>
                <w:sz w:val="17"/>
                <w:szCs w:val="17"/>
                <w:color w:val="0000FF"/>
              </w:rPr>
              <w:t>EXHIBITS</w:t>
            </w:r>
          </w:p>
        </w:tc>
        <w:tc>
          <w:tcPr>
            <w:tcW w:w="1020" w:type="dxa"/>
            <w:vAlign w:val="bottom"/>
            <w:gridSpan w:val="3"/>
          </w:tcPr>
          <w:p>
            <w:pPr>
              <w:spacing w:after="0"/>
              <w:rPr>
                <w:sz w:val="17"/>
                <w:szCs w:val="17"/>
                <w:color w:val="auto"/>
              </w:rPr>
            </w:pPr>
          </w:p>
        </w:tc>
        <w:tc>
          <w:tcPr>
            <w:tcW w:w="7260" w:type="dxa"/>
            <w:vAlign w:val="bottom"/>
            <w:gridSpan w:val="12"/>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SIGNATURE</w:t>
            </w: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6"/>
        </w:trPr>
        <w:tc>
          <w:tcPr>
            <w:tcW w:w="160" w:type="dxa"/>
            <w:vAlign w:val="bottom"/>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5880" w:type="dxa"/>
            <w:vAlign w:val="bottom"/>
            <w:gridSpan w:val="9"/>
          </w:tcPr>
          <w:p>
            <w:pPr>
              <w:jc w:val="center"/>
              <w:ind w:left="2833"/>
              <w:spacing w:after="0"/>
              <w:rPr>
                <w:sz w:val="20"/>
                <w:szCs w:val="20"/>
                <w:color w:val="auto"/>
              </w:rPr>
            </w:pPr>
            <w:r>
              <w:rPr>
                <w:rFonts w:ascii="Times New Roman" w:cs="Times New Roman" w:eastAsia="Times New Roman" w:hAnsi="Times New Roman"/>
                <w:sz w:val="17"/>
                <w:szCs w:val="17"/>
                <w:color w:val="auto"/>
                <w:w w:val="93"/>
              </w:rPr>
              <w:t>2</w:t>
            </w:r>
          </w:p>
        </w:tc>
        <w:tc>
          <w:tcPr>
            <w:tcW w:w="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0" w:type="dxa"/>
            <w:vAlign w:val="bottom"/>
          </w:tcPr>
          <w:p>
            <w:pPr>
              <w:spacing w:after="0"/>
              <w:rPr>
                <w:sz w:val="16"/>
                <w:szCs w:val="16"/>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50,572</w:t>
            </w:r>
          </w:p>
        </w:tc>
        <w:tc>
          <w:tcPr>
            <w:tcW w:w="0" w:type="dxa"/>
            <w:vAlign w:val="bottom"/>
          </w:tcPr>
          <w:p>
            <w:pPr>
              <w:spacing w:after="0"/>
              <w:rPr>
                <w:sz w:val="1"/>
                <w:szCs w:val="1"/>
                <w:color w:val="auto"/>
              </w:rPr>
            </w:pPr>
          </w:p>
        </w:tc>
      </w:tr>
      <w:tr>
        <w:trPr>
          <w:trHeight w:val="135"/>
        </w:trPr>
        <w:tc>
          <w:tcPr>
            <w:tcW w:w="808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$833 and $1,006 as of September 30, 2025 and December 31, 2024,</w:t>
            </w:r>
          </w:p>
        </w:tc>
        <w:tc>
          <w:tcPr>
            <w:tcW w:w="1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24,302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21,624</w:t>
            </w:r>
          </w:p>
        </w:tc>
        <w:tc>
          <w:tcPr>
            <w:tcW w:w="0" w:type="dxa"/>
            <w:vAlign w:val="bottom"/>
          </w:tcPr>
          <w:p>
            <w:pPr>
              <w:spacing w:after="0"/>
              <w:rPr>
                <w:sz w:val="1"/>
                <w:szCs w:val="1"/>
                <w:color w:val="auto"/>
              </w:rPr>
            </w:pPr>
          </w:p>
        </w:tc>
      </w:tr>
      <w:tr>
        <w:trPr>
          <w:trHeight w:val="188"/>
        </w:trPr>
        <w:tc>
          <w:tcPr>
            <w:tcW w:w="8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22,953</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Current assets held for sale</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11,410</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119,700</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122,575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27,014</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828</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 of use assets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3,146</w:t>
            </w:r>
          </w:p>
        </w:tc>
        <w:tc>
          <w:tcPr>
            <w:tcW w:w="0" w:type="dxa"/>
            <w:vAlign w:val="bottom"/>
          </w:tcPr>
          <w:p>
            <w:pPr>
              <w:spacing w:after="0"/>
              <w:rPr>
                <w:sz w:val="1"/>
                <w:szCs w:val="1"/>
                <w:color w:val="auto"/>
              </w:rPr>
            </w:pP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150,281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080" w:type="dxa"/>
            <w:vAlign w:val="bottom"/>
            <w:shd w:val="clear" w:color="auto" w:fill="CCEEFF"/>
          </w:tcPr>
          <w:p>
            <w:pPr>
              <w:ind w:left="25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airtime</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compensation and employee-related expenses</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4,728</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loss on future firm purchase commitments</w:t>
            </w:r>
          </w:p>
        </w:tc>
        <w:tc>
          <w:tcPr>
            <w:tcW w:w="12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other</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product warranty costs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Current operating lease liability</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Liability for uncertain tax positions</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0" w:type="dxa"/>
            <w:vAlign w:val="bottom"/>
          </w:tcPr>
          <w:p>
            <w:pPr>
              <w:spacing w:after="0"/>
              <w:rPr>
                <w:sz w:val="1"/>
                <w:szCs w:val="1"/>
                <w:color w:val="auto"/>
              </w:rPr>
            </w:pPr>
          </w:p>
        </w:tc>
      </w:tr>
      <w:tr>
        <w:trPr>
          <w:trHeight w:val="183"/>
        </w:trPr>
        <w:tc>
          <w:tcPr>
            <w:tcW w:w="80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15,214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15,872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operating lease liability</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income tax liability</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19,234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16,456</w:t>
            </w:r>
          </w:p>
        </w:tc>
        <w:tc>
          <w:tcPr>
            <w:tcW w:w="0" w:type="dxa"/>
            <w:vAlign w:val="bottom"/>
          </w:tcPr>
          <w:p>
            <w:pPr>
              <w:spacing w:after="0"/>
              <w:rPr>
                <w:sz w:val="1"/>
                <w:szCs w:val="1"/>
                <w:color w:val="auto"/>
              </w:rPr>
            </w:pPr>
          </w:p>
        </w:tc>
      </w:tr>
      <w:tr>
        <w:trPr>
          <w:trHeight w:val="169"/>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(Notes 2, 11, and 16)</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Preferred stock, $0.01 par value. Authorized 1,000,000 shares; none issued</w:t>
            </w:r>
          </w:p>
        </w:tc>
        <w:tc>
          <w:tcPr>
            <w:tcW w:w="12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8080" w:type="dxa"/>
            <w:vAlign w:val="bottom"/>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Common stock, $0.01 par value. Authorized 30,000,000 shares; 21,293,839 and 21,240,525 shares issued at September 30, 2025 and</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80" w:type="dxa"/>
            <w:vAlign w:val="bottom"/>
            <w:shd w:val="clear" w:color="auto" w:fill="CCEEFF"/>
          </w:tcPr>
          <w:p>
            <w:pPr>
              <w:ind w:left="500"/>
              <w:spacing w:after="0" w:line="144" w:lineRule="exact"/>
              <w:rPr>
                <w:sz w:val="20"/>
                <w:szCs w:val="20"/>
                <w:color w:val="auto"/>
              </w:rPr>
            </w:pPr>
            <w:r>
              <w:rPr>
                <w:rFonts w:ascii="Times New Roman" w:cs="Times New Roman" w:eastAsia="Times New Roman" w:hAnsi="Times New Roman"/>
                <w:sz w:val="14"/>
                <w:szCs w:val="14"/>
                <w:color w:val="auto"/>
              </w:rPr>
              <w:t>December 31, 2024, respectively; and 19,573,517 and 19,784,416 shares outstanding at September 30, 2025 and December 31, 2024,</w:t>
            </w:r>
          </w:p>
        </w:tc>
        <w:tc>
          <w:tcPr>
            <w:tcW w:w="120" w:type="dxa"/>
            <w:vAlign w:val="bottom"/>
            <w:shd w:val="clear" w:color="auto" w:fill="CCEEFF"/>
          </w:tcPr>
          <w:p>
            <w:pPr>
              <w:spacing w:after="0"/>
              <w:rPr>
                <w:sz w:val="12"/>
                <w:szCs w:val="12"/>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0" w:type="dxa"/>
            <w:vAlign w:val="bottom"/>
          </w:tcPr>
          <w:p>
            <w:pPr>
              <w:spacing w:after="0"/>
              <w:rPr>
                <w:sz w:val="1"/>
                <w:szCs w:val="1"/>
                <w:color w:val="auto"/>
              </w:rPr>
            </w:pPr>
          </w:p>
        </w:tc>
      </w:tr>
      <w:tr>
        <w:trPr>
          <w:trHeight w:val="193"/>
        </w:trPr>
        <w:tc>
          <w:tcPr>
            <w:tcW w:w="8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167,287</w:t>
            </w:r>
          </w:p>
        </w:tc>
        <w:tc>
          <w:tcPr>
            <w:tcW w:w="0" w:type="dxa"/>
            <w:vAlign w:val="bottom"/>
          </w:tcPr>
          <w:p>
            <w:pPr>
              <w:spacing w:after="0"/>
              <w:rPr>
                <w:sz w:val="1"/>
                <w:szCs w:val="1"/>
                <w:color w:val="auto"/>
              </w:rPr>
            </w:pPr>
          </w:p>
        </w:tc>
      </w:tr>
      <w:tr>
        <w:trPr>
          <w:trHeight w:val="204"/>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(12,752)</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144,509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150,715</w:t>
            </w:r>
          </w:p>
        </w:tc>
        <w:tc>
          <w:tcPr>
            <w:tcW w:w="0" w:type="dxa"/>
            <w:vAlign w:val="bottom"/>
          </w:tcPr>
          <w:p>
            <w:pPr>
              <w:spacing w:after="0"/>
              <w:rPr>
                <w:sz w:val="1"/>
                <w:szCs w:val="1"/>
                <w:color w:val="auto"/>
              </w:rPr>
            </w:pPr>
          </w:p>
        </w:tc>
      </w:tr>
      <w:tr>
        <w:trPr>
          <w:trHeight w:val="135"/>
        </w:trPr>
        <w:tc>
          <w:tcPr>
            <w:tcW w:w="8080" w:type="dxa"/>
            <w:vAlign w:val="bottom"/>
          </w:tcPr>
          <w:p>
            <w:pPr>
              <w:ind w:left="340"/>
              <w:spacing w:after="0" w:line="135" w:lineRule="exact"/>
              <w:rPr>
                <w:sz w:val="20"/>
                <w:szCs w:val="20"/>
                <w:color w:val="auto"/>
              </w:rPr>
            </w:pPr>
            <w:r>
              <w:rPr>
                <w:rFonts w:ascii="Times New Roman" w:cs="Times New Roman" w:eastAsia="Times New Roman" w:hAnsi="Times New Roman"/>
                <w:sz w:val="14"/>
                <w:szCs w:val="14"/>
                <w:color w:val="auto"/>
              </w:rPr>
              <w:t>Less: treasury stock at cost, common stock, 1,720,322 and 1,456,109 shares as of September 30, 2025 and December 31, 2024,</w:t>
            </w:r>
          </w:p>
        </w:tc>
        <w:tc>
          <w:tcPr>
            <w:tcW w:w="12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(13,462)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0" w:type="dxa"/>
            <w:vAlign w:val="bottom"/>
          </w:tcPr>
          <w:p>
            <w:pPr>
              <w:spacing w:after="0"/>
              <w:rPr>
                <w:sz w:val="1"/>
                <w:szCs w:val="1"/>
                <w:color w:val="auto"/>
              </w:rPr>
            </w:pPr>
          </w:p>
        </w:tc>
      </w:tr>
      <w:tr>
        <w:trPr>
          <w:trHeight w:val="188"/>
        </w:trPr>
        <w:tc>
          <w:tcPr>
            <w:tcW w:w="8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131,047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96"/>
        </w:trPr>
        <w:tc>
          <w:tcPr>
            <w:tcW w:w="808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150,281</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155,081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66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earnings per share amounts,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7"/>
                <w:szCs w:val="17"/>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6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24,410</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70,079</w:t>
            </w:r>
          </w:p>
        </w:tc>
        <w:tc>
          <w:tcPr>
            <w:tcW w:w="10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74,122</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w:t>
            </w:r>
          </w:p>
        </w:tc>
      </w:tr>
      <w:tr>
        <w:trPr>
          <w:trHeight w:val="216"/>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80,490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86,911</w:t>
            </w:r>
          </w:p>
        </w:tc>
      </w:tr>
      <w:tr>
        <w:trPr>
          <w:trHeight w:val="20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44,496</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14,321</w:t>
            </w: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6,771</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15,650</w:t>
            </w: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13,214</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Long-lived assets impairment charge</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16"/>
        </w:trPr>
        <w:tc>
          <w:tcPr>
            <w:tcW w:w="650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36,084</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30,962</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90,734</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95,589</w:t>
            </w:r>
          </w:p>
        </w:tc>
      </w:tr>
      <w:tr>
        <w:trPr>
          <w:trHeight w:val="216"/>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(7,631)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(8,678)</w:t>
            </w: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2,416</w:t>
            </w:r>
          </w:p>
        </w:tc>
      </w:tr>
      <w:tr>
        <w:trPr>
          <w:trHeight w:val="223"/>
        </w:trPr>
        <w:tc>
          <w:tcPr>
            <w:tcW w:w="6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3"/>
        </w:trPr>
        <w:tc>
          <w:tcPr>
            <w:tcW w:w="65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16"/>
        </w:trPr>
        <w:tc>
          <w:tcPr>
            <w:tcW w:w="65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(6,612)</w:t>
            </w:r>
          </w:p>
        </w:tc>
      </w:tr>
      <w:tr>
        <w:trPr>
          <w:trHeight w:val="223"/>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41"/>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(7,714)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(6,738)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common share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(0.40)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(0.35)</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0"/>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common shares outstanding:</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3"/>
        </w:trPr>
        <w:tc>
          <w:tcPr>
            <w:tcW w:w="6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19,361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19,433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19,418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19,367</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0"/>
        </w:trPr>
        <w:tc>
          <w:tcPr>
            <w:tcW w:w="6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19,433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19,418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19,367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0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720" w:type="dxa"/>
            <w:vAlign w:val="bottom"/>
          </w:tcPr>
          <w:p>
            <w:pPr>
              <w:spacing w:after="0"/>
              <w:rPr>
                <w:sz w:val="17"/>
                <w:szCs w:val="17"/>
                <w:color w:val="auto"/>
              </w:rPr>
            </w:pPr>
          </w:p>
        </w:tc>
      </w:tr>
      <w:tr>
        <w:trPr>
          <w:trHeight w:val="23"/>
        </w:trPr>
        <w:tc>
          <w:tcPr>
            <w:tcW w:w="6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4"/>
        </w:trPr>
        <w:tc>
          <w:tcPr>
            <w:tcW w:w="6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2"/>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(7,714)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(6,738)</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Other comprehensive (loss) income, net of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16"/>
        </w:trPr>
        <w:tc>
          <w:tcPr>
            <w:tcW w:w="650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7"/>
                <w:szCs w:val="17"/>
                <w:color w:val="auto"/>
              </w:rPr>
              <w:t>Other comprehensive (loss) income, net of tax</w:t>
            </w:r>
            <w:r>
              <w:rPr>
                <w:rFonts w:ascii="Times New Roman" w:cs="Times New Roman" w:eastAsia="Times New Roman" w:hAnsi="Times New Roman"/>
                <w:sz w:val="22"/>
                <w:szCs w:val="22"/>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41"/>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comprehensive loss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(7,390)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Tax impact was nominal for all periods.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744" w:right="35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 thousands, 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20" w:type="dxa"/>
            <w:vAlign w:val="bottom"/>
          </w:tcPr>
          <w:p>
            <w:pPr>
              <w:spacing w:after="0"/>
              <w:rPr>
                <w:sz w:val="12"/>
                <w:szCs w:val="12"/>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12"/>
                <w:szCs w:val="12"/>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3"/>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21,224</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168,082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(13,532)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(3,032)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(1,698)</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(13,346)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138,384</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(6,934)</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21,294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168,470</w:t>
            </w:r>
          </w:p>
        </w:tc>
        <w:tc>
          <w:tcPr>
            <w:tcW w:w="1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(20,466)</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(3,708)</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(1,720)</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(13,462)</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131,047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vMerge w:val="restart"/>
          </w:tcPr>
          <w:p>
            <w:pPr>
              <w:jc w:val="center"/>
              <w:ind w:right="260"/>
              <w:spacing w:after="0" w:line="12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vMerge w:val="restart"/>
          </w:tcPr>
          <w:p>
            <w:pPr>
              <w:jc w:val="center"/>
              <w:ind w:right="280"/>
              <w:spacing w:after="0" w:line="12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93"/>
              <w:spacing w:after="0" w:line="12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72"/>
        </w:trPr>
        <w:tc>
          <w:tcPr>
            <w:tcW w:w="2420" w:type="dxa"/>
            <w:vAlign w:val="bottom"/>
          </w:tcPr>
          <w:p>
            <w:pPr>
              <w:spacing w:after="0"/>
              <w:rPr>
                <w:sz w:val="6"/>
                <w:szCs w:val="6"/>
                <w:color w:val="auto"/>
              </w:rPr>
            </w:pPr>
          </w:p>
        </w:tc>
        <w:tc>
          <w:tcPr>
            <w:tcW w:w="10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6"/>
                <w:szCs w:val="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4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21,241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167,287</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(12,752)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(4,032)</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138,625</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(7,714)</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324</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21,294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168,470</w:t>
            </w:r>
          </w:p>
        </w:tc>
        <w:tc>
          <w:tcPr>
            <w:tcW w:w="10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(20,466)</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(3,708)</w:t>
            </w:r>
          </w:p>
        </w:tc>
        <w:tc>
          <w:tcPr>
            <w:tcW w:w="10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(1,720)</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(13,462)</w:t>
            </w:r>
          </w:p>
        </w:tc>
        <w:tc>
          <w:tcPr>
            <w:tcW w:w="1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131,047</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10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7"/>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52"/>
        </w:trPr>
        <w:tc>
          <w:tcPr>
            <w:tcW w:w="24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tcPr>
          <w:p>
            <w:pPr>
              <w:jc w:val="center"/>
              <w:ind w:right="260"/>
              <w:spacing w:after="0" w:line="53" w:lineRule="exact"/>
              <w:rPr>
                <w:sz w:val="20"/>
                <w:szCs w:val="20"/>
                <w:color w:val="auto"/>
              </w:rPr>
            </w:pPr>
            <w:r>
              <w:rPr>
                <w:rFonts w:ascii="Times New Roman" w:cs="Times New Roman" w:eastAsia="Times New Roman" w:hAnsi="Times New Roman"/>
                <w:sz w:val="6"/>
                <w:szCs w:val="6"/>
                <w:b w:val="1"/>
                <w:bCs w:val="1"/>
                <w:color w:val="auto"/>
              </w:rPr>
              <w:t>Paid-in</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gridSpan w:val="2"/>
          </w:tcPr>
          <w:p>
            <w:pPr>
              <w:jc w:val="center"/>
              <w:ind w:right="280"/>
              <w:spacing w:after="0" w:line="53" w:lineRule="exact"/>
              <w:rPr>
                <w:sz w:val="20"/>
                <w:szCs w:val="20"/>
                <w:color w:val="auto"/>
              </w:rPr>
            </w:pPr>
            <w:r>
              <w:rPr>
                <w:rFonts w:ascii="Times New Roman" w:cs="Times New Roman" w:eastAsia="Times New Roman" w:hAnsi="Times New Roman"/>
                <w:sz w:val="6"/>
                <w:szCs w:val="6"/>
                <w:b w:val="1"/>
                <w:bCs w:val="1"/>
                <w:color w:val="auto"/>
              </w:rPr>
              <w:t>Other</w:t>
            </w: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jc w:val="center"/>
              <w:ind w:right="93"/>
              <w:spacing w:after="0" w:line="53" w:lineRule="exact"/>
              <w:rPr>
                <w:sz w:val="20"/>
                <w:szCs w:val="20"/>
                <w:color w:val="auto"/>
              </w:rPr>
            </w:pPr>
            <w:r>
              <w:rPr>
                <w:rFonts w:ascii="Times New Roman" w:cs="Times New Roman" w:eastAsia="Times New Roman" w:hAnsi="Times New Roman"/>
                <w:sz w:val="6"/>
                <w:szCs w:val="6"/>
                <w:b w:val="1"/>
                <w:bCs w:val="1"/>
                <w:color w:val="auto"/>
              </w:rPr>
              <w:t>Stockholders’</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6"/>
                <w:szCs w:val="16"/>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4"/>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21,170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166,490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(7,243)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(3,991)</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143,378</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21,255</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166,874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(8,442)</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(3,857)</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142,698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420" w:type="dxa"/>
            <w:vAlign w:val="bottom"/>
          </w:tcPr>
          <w:p>
            <w:pPr>
              <w:spacing w:after="0"/>
              <w:rPr>
                <w:sz w:val="24"/>
                <w:szCs w:val="24"/>
                <w:color w:val="auto"/>
              </w:rPr>
            </w:pPr>
          </w:p>
        </w:tc>
        <w:tc>
          <w:tcPr>
            <w:tcW w:w="2020" w:type="dxa"/>
            <w:vAlign w:val="bottom"/>
            <w:gridSpan w:val="5"/>
          </w:tcPr>
          <w:p>
            <w:pPr>
              <w:ind w:left="56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4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2100" w:type="dxa"/>
            <w:vAlign w:val="bottom"/>
            <w:gridSpan w:val="5"/>
          </w:tcPr>
          <w:p>
            <w:pPr>
              <w:ind w:left="6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40" w:type="dxa"/>
            <w:vAlign w:val="bottom"/>
          </w:tcPr>
          <w:p>
            <w:pPr>
              <w:spacing w:after="0"/>
              <w:rPr>
                <w:sz w:val="24"/>
                <w:szCs w:val="24"/>
                <w:color w:val="auto"/>
              </w:rPr>
            </w:pPr>
          </w:p>
        </w:tc>
        <w:tc>
          <w:tcPr>
            <w:tcW w:w="1000" w:type="dxa"/>
            <w:vAlign w:val="bottom"/>
          </w:tcPr>
          <w:p>
            <w:pPr>
              <w:jc w:val="center"/>
              <w:ind w:right="113"/>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2"/>
            <w:vMerge w:val="restart"/>
          </w:tcPr>
          <w:p>
            <w:pPr>
              <w:jc w:val="center"/>
              <w:ind w:right="260"/>
              <w:spacing w:after="0" w:line="124"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gridSpan w:val="2"/>
            <w:vMerge w:val="restart"/>
          </w:tcPr>
          <w:p>
            <w:pPr>
              <w:jc w:val="center"/>
              <w:ind w:right="280"/>
              <w:spacing w:after="0" w:line="124"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center"/>
              <w:ind w:right="93"/>
              <w:spacing w:after="0" w:line="124"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Deficit</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Comprehensive Loss</w:t>
            </w: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40" w:type="dxa"/>
            <w:vAlign w:val="bottom"/>
          </w:tcPr>
          <w:p>
            <w:pPr>
              <w:spacing w:after="0"/>
              <w:rPr>
                <w:sz w:val="14"/>
                <w:szCs w:val="14"/>
                <w:color w:val="auto"/>
              </w:rPr>
            </w:pPr>
          </w:p>
        </w:tc>
        <w:tc>
          <w:tcPr>
            <w:tcW w:w="1000" w:type="dxa"/>
            <w:vAlign w:val="bottom"/>
          </w:tcPr>
          <w:p>
            <w:pPr>
              <w:jc w:val="center"/>
              <w:ind w:right="93"/>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96"/>
        </w:trPr>
        <w:tc>
          <w:tcPr>
            <w:tcW w:w="2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21,067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165,140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(1,704)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(4,185)</w:t>
            </w:r>
          </w:p>
        </w:tc>
        <w:tc>
          <w:tcPr>
            <w:tcW w:w="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147,372</w:t>
            </w:r>
          </w:p>
        </w:tc>
        <w:tc>
          <w:tcPr>
            <w:tcW w:w="0" w:type="dxa"/>
            <w:vAlign w:val="bottom"/>
          </w:tcPr>
          <w:p>
            <w:pPr>
              <w:spacing w:after="0"/>
              <w:rPr>
                <w:sz w:val="1"/>
                <w:szCs w:val="1"/>
                <w:color w:val="auto"/>
              </w:rPr>
            </w:pPr>
          </w:p>
        </w:tc>
      </w:tr>
      <w:tr>
        <w:trPr>
          <w:trHeight w:val="183"/>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(6,738)</w:t>
            </w:r>
          </w:p>
        </w:tc>
        <w:tc>
          <w:tcPr>
            <w:tcW w:w="0" w:type="dxa"/>
            <w:vAlign w:val="bottom"/>
          </w:tcPr>
          <w:p>
            <w:pPr>
              <w:spacing w:after="0"/>
              <w:rPr>
                <w:sz w:val="1"/>
                <w:szCs w:val="1"/>
                <w:color w:val="auto"/>
              </w:rPr>
            </w:pPr>
          </w:p>
        </w:tc>
      </w:tr>
      <w:tr>
        <w:trPr>
          <w:trHeight w:val="204"/>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328</w:t>
            </w:r>
          </w:p>
        </w:tc>
        <w:tc>
          <w:tcPr>
            <w:tcW w:w="0" w:type="dxa"/>
            <w:vAlign w:val="bottom"/>
          </w:tcPr>
          <w:p>
            <w:pPr>
              <w:spacing w:after="0"/>
              <w:rPr>
                <w:sz w:val="1"/>
                <w:szCs w:val="1"/>
                <w:color w:val="auto"/>
              </w:rPr>
            </w:pPr>
          </w:p>
        </w:tc>
      </w:tr>
      <w:tr>
        <w:trPr>
          <w:trHeight w:val="189"/>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42"/>
        </w:trPr>
        <w:tc>
          <w:tcPr>
            <w:tcW w:w="24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92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Exercise of stock options and issuance of</w:t>
            </w:r>
          </w:p>
        </w:tc>
        <w:tc>
          <w:tcPr>
            <w:tcW w:w="92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0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242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awards, net of forfeitures</w:t>
            </w: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9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21,255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166,874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(12,090)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142,698</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KVH INDUSTRIES, INC. AND SUBSIDIARIES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ind w:left="4800"/>
              <w:spacing w:after="0"/>
              <w:rPr>
                <w:sz w:val="20"/>
                <w:szCs w:val="20"/>
                <w:color w:val="auto"/>
              </w:rPr>
            </w:pPr>
            <w:r>
              <w:rPr>
                <w:rFonts w:ascii="Times New Roman" w:cs="Times New Roman" w:eastAsia="Times New Roman" w:hAnsi="Times New Roman"/>
                <w:sz w:val="14"/>
                <w:szCs w:val="14"/>
                <w:b w:val="1"/>
                <w:bCs w:val="1"/>
                <w:color w:val="auto"/>
              </w:rPr>
              <w:t>(in thousands, unaudited)</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6"/>
        </w:trPr>
        <w:tc>
          <w:tcPr>
            <w:tcW w:w="8420" w:type="dxa"/>
            <w:vAlign w:val="bottom"/>
          </w:tcPr>
          <w:p>
            <w:pPr>
              <w:spacing w:after="0"/>
              <w:rPr>
                <w:sz w:val="17"/>
                <w:szCs w:val="17"/>
                <w:color w:val="auto"/>
              </w:rPr>
            </w:pPr>
          </w:p>
        </w:tc>
        <w:tc>
          <w:tcPr>
            <w:tcW w:w="2780" w:type="dxa"/>
            <w:vAlign w:val="bottom"/>
            <w:gridSpan w:val="5"/>
          </w:tcPr>
          <w:p>
            <w:pPr>
              <w:jc w:val="right"/>
              <w:ind w:right="7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8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7"/>
                <w:szCs w:val="17"/>
                <w:color w:val="auto"/>
              </w:rPr>
            </w:pPr>
          </w:p>
        </w:tc>
      </w:tr>
      <w:tr>
        <w:trPr>
          <w:trHeight w:val="23"/>
        </w:trPr>
        <w:tc>
          <w:tcPr>
            <w:tcW w:w="8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4"/>
        </w:trPr>
        <w:tc>
          <w:tcPr>
            <w:tcW w:w="8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(7,714)</w:t>
            </w:r>
          </w:p>
        </w:tc>
        <w:tc>
          <w:tcPr>
            <w:tcW w:w="120" w:type="dxa"/>
            <w:vAlign w:val="bottom"/>
          </w:tcPr>
          <w:p>
            <w:pPr>
              <w:spacing w:after="0"/>
              <w:rPr>
                <w:sz w:val="18"/>
                <w:szCs w:val="18"/>
                <w:color w:val="auto"/>
              </w:rPr>
            </w:pPr>
          </w:p>
        </w:tc>
        <w:tc>
          <w:tcPr>
            <w:tcW w:w="4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(6,738)</w:t>
            </w: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10,250</w:t>
            </w: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Impairment charge to goodwill and long-lived assets</w:t>
            </w:r>
          </w:p>
        </w:tc>
        <w:tc>
          <w:tcPr>
            <w:tcW w:w="8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1,137</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income taxes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(Gain) loss on disposals of fixed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1,850</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Gain on sale of fixed assets located at 50 Enterprise Center Middletown, Rhode Island</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Loss on sale of fixed assets located at 75 Enterprise Center Middletown, Rhode Island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Compensation expense related to stock-based awards and employee stock purchase plan</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1,629</w:t>
            </w: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Unrealized currency translation loss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280</w:t>
            </w:r>
          </w:p>
        </w:tc>
      </w:tr>
      <w:tr>
        <w:trPr>
          <w:trHeight w:val="211"/>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receivable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896</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Inventories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(16,128)</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692</w:t>
            </w:r>
          </w:p>
        </w:tc>
      </w:tr>
      <w:tr>
        <w:trPr>
          <w:trHeight w:val="208"/>
        </w:trPr>
        <w:tc>
          <w:tcPr>
            <w:tcW w:w="842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5,404</w:t>
            </w:r>
          </w:p>
        </w:tc>
      </w:tr>
      <w:tr>
        <w:trPr>
          <w:trHeight w:val="211"/>
        </w:trPr>
        <w:tc>
          <w:tcPr>
            <w:tcW w:w="84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Deferred revenue</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r>
      <w:tr>
        <w:trPr>
          <w:trHeight w:val="208"/>
        </w:trPr>
        <w:tc>
          <w:tcPr>
            <w:tcW w:w="84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Accrued compensation, product warranty and other</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(6,489)</w:t>
            </w:r>
          </w:p>
        </w:tc>
      </w:tr>
      <w:tr>
        <w:trPr>
          <w:trHeight w:val="204"/>
        </w:trPr>
        <w:tc>
          <w:tcPr>
            <w:tcW w:w="84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800" w:type="dxa"/>
            <w:vAlign w:val="bottom"/>
            <w:tcBorders>
              <w:bottom w:val="single" w:sz="8" w:color="auto"/>
            </w:tcBorders>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13,715</w:t>
            </w:r>
          </w:p>
        </w:tc>
        <w:tc>
          <w:tcPr>
            <w:tcW w:w="1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(13,573)</w:t>
            </w:r>
          </w:p>
        </w:tc>
      </w:tr>
      <w:tr>
        <w:trPr>
          <w:trHeight w:val="189"/>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0"/>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Capital expenditures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paid for acquisition of intangible asset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sale of fixed assets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the sale of fixed assets located at 50 Enterprise Center Middletown, Rhode Island</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Proceeds from the sale of fixed assets located at 75 Enterprise Center Middletown, Rhode Island</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8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(1,892)</w:t>
            </w: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Maturities and sales of marketable securities</w:t>
            </w: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25,000</w:t>
            </w:r>
          </w:p>
        </w:tc>
      </w:tr>
      <w:tr>
        <w:trPr>
          <w:trHeight w:val="202"/>
        </w:trPr>
        <w:tc>
          <w:tcPr>
            <w:tcW w:w="8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800" w:type="dxa"/>
            <w:vAlign w:val="bottom"/>
            <w:tcBorders>
              <w:top w:val="single" w:sz="8" w:color="auto"/>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9,759</w:t>
            </w:r>
          </w:p>
        </w:tc>
        <w:tc>
          <w:tcPr>
            <w:tcW w:w="12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16,507</w:t>
            </w:r>
          </w:p>
        </w:tc>
      </w:tr>
      <w:tr>
        <w:trPr>
          <w:trHeight w:val="19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08"/>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stock options exercised and employee stock purchase plan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96</w:t>
            </w:r>
          </w:p>
        </w:tc>
      </w:tr>
      <w:tr>
        <w:trPr>
          <w:trHeight w:val="211"/>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8420" w:type="dxa"/>
            <w:vAlign w:val="bottom"/>
            <w:tcBorders>
              <w:bottom w:val="single" w:sz="8" w:color="CCEEFF"/>
            </w:tcBorders>
          </w:tcPr>
          <w:p>
            <w:pPr>
              <w:ind w:left="106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(1,326)</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96</w:t>
            </w:r>
          </w:p>
        </w:tc>
      </w:tr>
      <w:tr>
        <w:trPr>
          <w:trHeight w:val="203"/>
        </w:trPr>
        <w:tc>
          <w:tcPr>
            <w:tcW w:w="8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w:t>
            </w:r>
          </w:p>
        </w:tc>
      </w:tr>
      <w:tr>
        <w:trPr>
          <w:trHeight w:val="209"/>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in cash and cash equivalents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22,232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3,102</w:t>
            </w:r>
          </w:p>
        </w:tc>
      </w:tr>
      <w:tr>
        <w:trPr>
          <w:trHeight w:val="21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50,572</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11,294</w:t>
            </w:r>
          </w:p>
        </w:tc>
      </w:tr>
      <w:tr>
        <w:trPr>
          <w:trHeight w:val="203"/>
        </w:trPr>
        <w:tc>
          <w:tcPr>
            <w:tcW w:w="8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72,804</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14,396</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6"/>
        </w:trPr>
        <w:tc>
          <w:tcPr>
            <w:tcW w:w="8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color w:val="auto"/>
              </w:rPr>
              <w:t>Supplemental disclosure of non-cash investing and financing activities:</w:t>
            </w: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10"/>
        </w:trPr>
        <w:tc>
          <w:tcPr>
            <w:tcW w:w="84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Amounts in accrued other and accounts payable related to property and equipment additions</w:t>
            </w:r>
          </w:p>
        </w:tc>
        <w:tc>
          <w:tcPr>
            <w:tcW w:w="8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w:t>
            </w:r>
          </w:p>
        </w:tc>
      </w:tr>
      <w:tr>
        <w:trPr>
          <w:trHeight w:val="20"/>
        </w:trPr>
        <w:tc>
          <w:tcPr>
            <w:tcW w:w="8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See accompanying Notes to Unaudited Consolidated Financial Statements.</w:t>
      </w:r>
    </w:p>
    <w:p>
      <w:pPr>
        <w:spacing w:after="0" w:line="1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62230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60" w:top="74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KVH INDUSTRIES, INC. AND SUBSIDIARIES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Interim Financial Statements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all amounts in thousands except per share amounts)</w:t>
      </w:r>
    </w:p>
    <w:p>
      <w:pPr>
        <w:spacing w:after="0" w:line="23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w:t>
        <w:tab/>
        <w:t>Description of Business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KVH Industries, Inc. (together with its subsidiaries, the Company or KVH) develops, markets, and supports mobile connectivity and managed services and products for the marine and land markets.</w:t>
      </w:r>
    </w:p>
    <w:p>
      <w:pPr>
        <w:spacing w:after="0" w:line="17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KVH’s service sales primarily represent revenue earned from satellite Internet airtime services. In March 2023, KVH began selling terminals for the Starlink Low Earth Orbit (LEO) service and in September 2023 became a Starlink authorized hardware and airtime reseller. In October 2024, we expanded our portfolio to include Starlink Local Priority data plans, which is primarily for stationary and in-motion commercial use on land. KVH further expanded its LEO service and hardware portfolio in January 2025 with the launch of OneWeb service for maritime applications. In addition, KVH provides, for monthly fixed and per-usage fees, satellite connectivity encompassing broadband Internet and Voice over Internet Protocol (VoIP) services, to its TracNet® H-series and TracPhone® V-HTS series customers via KVH’s global high-throughput satellite (HTS) network. Revenue from our cellular airtime service supplements KVH’s satellite-only airtime revenue following the July 2022 launch of the KVH ONE® hybrid network and TracNet H-series terminals and the subsequent introduction of the TracNet Coastal cellular/Wi-Fi terminal. KVH provides this combination of services and products in more than 130 countries. The May 2023 introduction of the KVH ONE OpenNet Program expanded access to KVH’s global HTS network and airtime services to non-KVH terminals.</w:t>
      </w:r>
    </w:p>
    <w:p>
      <w:pPr>
        <w:spacing w:after="0" w:line="201"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AgilePlans, KVH’s connectivity as a service offering, is a monthly subscription model that provides global connectivity to commercial maritime customers. The subscription can include KVH VSAT terminals and data service, Starlink and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that the Company offers to customers who elect to purchase or lease a TracNet H-series, TracPhone V-HTS series, Starlink, or OneWeb terminal.</w:t>
      </w:r>
    </w:p>
    <w:p>
      <w:pPr>
        <w:spacing w:after="0" w:line="19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spacing w:after="0" w:line="19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KVH’s satellite-only and hybrid products enable marine customers to receive data, VoIP, and value-added services via satellite, cellular, and shore-based Wi-Fi networks onboard commercial, leisure, and military/government vessels. In addition, the Company’s in-motion television terminals permit customers to receive live digital television via regional satellite services in marine vessels, recreational vehicles, buses and automobiles. KVH sells its products through an extensive international network of dealers and distributors. KVH also sells and leases products to service providers and end users.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8" w:name="page9"/>
    <w:bookmarkEnd w:id="8"/>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 February 2024, the Company announced a staged wind-down of its product manufacturing operations at its Middletown, Rhode Island location.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2026. The wind-down has been extended from the end of 2025 because the reduced workforce has been prioritizing fulfillment of LEO product orders and refurbishing AgilePlan terminals over manufacturing new units. The Company expects to continue to facilitate customer transition to third-party hardware products compatible with its mobile satellite communications services. Please see Note 17 for additional details surrounding the wind-down of the Company's manufacturing activities.</w:t>
      </w:r>
    </w:p>
    <w:p>
      <w:pPr>
        <w:spacing w:after="0" w:line="196" w:lineRule="exact"/>
        <w:rPr>
          <w:sz w:val="20"/>
          <w:szCs w:val="20"/>
          <w:color w:val="auto"/>
        </w:rPr>
      </w:pPr>
    </w:p>
    <w:p>
      <w:pPr>
        <w:ind w:left="420" w:hanging="415"/>
        <w:spacing w:after="0"/>
        <w:tabs>
          <w:tab w:leader="none" w:pos="4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of Presentation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spacing w:after="0" w:line="190"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2024 filed on March 10, 2025 with the Securities and Exchange Commission. The results for the three and nine months ended September 30, 2025 are not necessarily indicative of operating results for the remainder of the year.</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Significant Estimates and Assumptions and Other Significant Non-Recurring Transactions</w:t>
      </w:r>
    </w:p>
    <w:p>
      <w:pPr>
        <w:spacing w:after="0" w:line="252" w:lineRule="exact"/>
        <w:rPr>
          <w:sz w:val="20"/>
          <w:szCs w:val="20"/>
          <w:color w:val="auto"/>
        </w:rPr>
      </w:pPr>
    </w:p>
    <w:p>
      <w:pPr>
        <w:jc w:val="both"/>
        <w:ind w:firstLine="472"/>
        <w:spacing w:after="0" w:line="251"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estimated fair values of long-lived assets (including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spacing w:after="0" w:line="211"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 Held for Sale</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Company classifies an asset as held for sale when management, having the authority to approve the action, commits to a plan to sell the asset, the sale is probable within one year and the asset is available for immediate sale in its present condition. The Company also considers whether an active program to locate a buyer has been initiated, whether the asset is marketed actively for sale at a price that is reasonable in relation to its current fair value and whether actions required to complete the plan indicate that it is unlikely that significant changes to the plan will be made or that the plan will be withdrawn. The Company initially measures an asset that is classified as held for sale at the lower of its carrying amount or fair value less costs to sell. Any loss resulting from this measurement is recognized in the period in which the held for sale criteria are met. Conversely, gains are not recognized until the date of sale. The Company assesses the fair value of an asset less costs to sell for each reporting period that it remains classified as held for sale and reports any subsequent changes as an adjustment to the carrying amount of the asset, as long as the new carrying amount does not exceed the carrying amount of the asset at the time it was initially classified as held for sale. Assets are not depreciated or amortized while they are classified as held for sale.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Foreign Currency Translation</w:t>
      </w:r>
    </w:p>
    <w:p>
      <w:pPr>
        <w:spacing w:after="0" w:line="252"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Denmark, Singapore, Brazil and Cyprus are maintained using the United States dollar as the functional currency. Exchange rates in effect on the date of the transaction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losses, which are comprised of both realized and unrealized foreign currency exchange gains and losses, in its accompanying consolidated statements of operations of $(9) and $(48) for the three months ended September 30, 2025 and 2024, respectively, and $(141) and $(317) for the nine months ended September 30, 2025 and 2024, respectively.</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spacing w:after="0" w:line="194" w:lineRule="exact"/>
        <w:rPr>
          <w:sz w:val="20"/>
          <w:szCs w:val="20"/>
          <w:color w:val="auto"/>
        </w:rPr>
      </w:pPr>
    </w:p>
    <w:p>
      <w:pPr>
        <w:ind w:left="420" w:hanging="415"/>
        <w:spacing w:after="0"/>
        <w:tabs>
          <w:tab w:leader="none" w:pos="4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Recently Issued Accounting Standards and Accounting Standards Not yet Adopted</w:t>
      </w:r>
    </w:p>
    <w:p>
      <w:pPr>
        <w:spacing w:after="0" w:line="252"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 December 2023, the Financial Accounting Standards Board (FASB) issued Accounting Standards Update (ASU) No. 2023-09, Income Taxes (Topic 740): Improvements to Income Tax Disclosures. The amendments in this ASU apply to all entities that are subject to Topic 740, Income Taxes. The amendments require public business entities to disclose specific categories in their tax rate reconciliation and provide additional information for reconciling items that meet a quantitative threshold. These amendments also require all entities to disclose income taxes paid, net of refunds received, disaggregated by federal, state, and foreign taxes and by individual jurisdictions in which income taxes paid, net of refunds received, are equal to or greater than five percent of total income taxes paid. For public business entities, the amendments in this ASU are effective for annual periods beginning after December 15, 2024. The amendments in this ASU should be applied on a prospective basis. The adoption of ASU No. 2023-09 is not expected to have a material impact on the Company’s financial statements, including disclosures.</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spacing w:after="0" w:line="196"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There are no other recent accounting pronouncements that have been issued by the FASB that are not yet effective and that the Company expects would have a material impact on the Company’s financial statements, including disclosures.</w:t>
      </w:r>
    </w:p>
    <w:p>
      <w:pPr>
        <w:spacing w:after="0" w:line="200" w:lineRule="exact"/>
        <w:rPr>
          <w:sz w:val="20"/>
          <w:szCs w:val="20"/>
          <w:color w:val="auto"/>
        </w:rPr>
      </w:pPr>
    </w:p>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(4)</w:t>
        <w:tab/>
        <w:t>Marketable Securities</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 the fourth quarter of 2024, the balance of our marketable securities held by Wells Fargo was liquidated and transferred to an interest-bearing account held by Bank of America, N.A. Interest income from marketable securities was $0 and $466 during the three months ended September 30, 2025 and 2024, respectively, and $0 and $1,892 during the nine months ended September 30, 2025 and 2024, respectively.</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We held no marketable securities as of September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0" w:name="page11"/>
    <w:bookmarkEnd w:id="10"/>
    <w:p>
      <w:pPr>
        <w:ind w:left="420" w:hanging="415"/>
        <w:spacing w:after="0"/>
        <w:tabs>
          <w:tab w:leader="none" w:pos="4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24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(a) Stock Equity and Incentive Plan</w:t>
      </w:r>
    </w:p>
    <w:p>
      <w:pPr>
        <w:spacing w:after="0" w:line="173" w:lineRule="exact"/>
        <w:rPr>
          <w:sz w:val="20"/>
          <w:szCs w:val="20"/>
          <w:color w:val="auto"/>
        </w:rPr>
      </w:pPr>
    </w:p>
    <w:p>
      <w:pPr>
        <w:jc w:val="both"/>
        <w:ind w:firstLine="472"/>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stock-based compensation in accordance with the provisions of ASC Topic 718, </w:t>
      </w:r>
      <w:r>
        <w:rPr>
          <w:rFonts w:ascii="Times New Roman" w:cs="Times New Roman" w:eastAsia="Times New Roman" w:hAnsi="Times New Roman"/>
          <w:sz w:val="17"/>
          <w:szCs w:val="17"/>
          <w:i w:val="1"/>
          <w:iCs w:val="1"/>
          <w:color w:val="auto"/>
        </w:rPr>
        <w:t>Compensation-Stock Compensation</w:t>
      </w:r>
      <w:r>
        <w:rPr>
          <w:rFonts w:ascii="Times New Roman" w:cs="Times New Roman" w:eastAsia="Times New Roman" w:hAnsi="Times New Roman"/>
          <w:sz w:val="17"/>
          <w:szCs w:val="17"/>
          <w:color w:val="auto"/>
        </w:rPr>
        <w:t>. Stock-based compensation expense was $367 and $384, excluding $(1) and $1 of compensation expense related to our Amended and Restated 1996 Employee Stock Purchase Plan, or the ESPP, for the three months ended September 30, 2025 and 2024, respectively, and $1,134 and $1,622, excluding $3 and $7 of compensation expense related to ESPP, for the nine months ended September 30, 2025 and 2024, respectively. As of September 30, 2025, there was $1,708 of total unrecognized compensation expense related to stock options, which is expected to be recognized over a weighted-average period of 2.87 years. As of September 30, 2025, there was $1,117 of total unrecognized compensation expense related to restricted stock awards, which is expected to be recognized over a weighted-average period of 1.52 years.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Stock Options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three months ended September 30, 2025, no shares of common stock were issued upon the exercise of stock options. No shares were surrendered to the Company to satisfy minimum tax withholding obligations. Additionally, during the three months ended September 30, 2025, no stock options were granted and 132 stock options expired, were canceled or were forfeited. During the three months ended September 30, 2024, no shares of common stock were issued upon the exercise of stock options. No shares were surrendered to the Company to satisfy minimum tax withholding obligations. Additionally, during the three months ended September 30, 2024, no stock options were granted and 230 stock options expired, were canceled or were forfeited.</w:t>
      </w:r>
    </w:p>
    <w:p>
      <w:pPr>
        <w:spacing w:after="0" w:line="19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During the nine months ended September 30, 2025, 6 shares of common stock were issued upon the exercise of stock options. No shares were surrendered to the Company to satisfy minimum tax withholding obligations. Additionally, during the nine months ended September 30, 2025, 575 stock options were granted and 259 stock options expired, were canceled or were forfeited. During the nine months ended September 30, 2024, no shares of common stock were issued upon the exercise of stock options. No shares were surrendered to the Company to satisfy minimum tax withholding obligations. Additionally, during the nine months ended September 30, 2024, 266 stock options were granted and 501 stock options expired, were canceled or were forfeited. The Company has historically estimated the fair value of each option grant on the date of grant using the Black-Scholes option-pricing model. The weighted average assumptions utilized to determine the fair value of options granted during the nine months ended September 30, 2025 and 2024 are as follows:</w:t>
      </w:r>
    </w:p>
    <w:p>
      <w:pPr>
        <w:spacing w:after="0" w:line="5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Borders>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2025</w:t>
            </w:r>
          </w:p>
        </w:tc>
        <w:tc>
          <w:tcPr>
            <w:tcW w:w="7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2120" w:type="dxa"/>
            <w:vAlign w:val="bottom"/>
            <w:tcBorders>
              <w:top w:val="single" w:sz="8" w:color="auto"/>
              <w:bottom w:val="single" w:sz="8" w:color="auto"/>
            </w:tcBorders>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3.93 %</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r>
      <w:tr>
        <w:trPr>
          <w:trHeight w:val="223"/>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40.81 %</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48.63 %</w:t>
            </w:r>
          </w:p>
        </w:tc>
      </w:tr>
      <w:tr>
        <w:trPr>
          <w:trHeight w:val="223"/>
        </w:trPr>
        <w:tc>
          <w:tcPr>
            <w:tcW w:w="8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life (in years)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2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r>
      <w:tr>
        <w:trPr>
          <w:trHeight w:val="22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c>
          <w:tcPr>
            <w:tcW w:w="2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0 %</w:t>
            </w:r>
          </w:p>
        </w:tc>
      </w:tr>
    </w:tbl>
    <w:p>
      <w:pPr>
        <w:spacing w:after="0" w:line="30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September 30, 2025, there were 1,264 options outstanding with a weighted average exercise price of $7.09 per share and 380 options exercisable with a weighted average exercise price of $9.22 per share. As of September 30, 2024, there were 995 options outstanding with a weighted average exercise price of $8.23 per share and 410 options exercisable with a weighted average exercise price of $9.32 per share.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2025, 70 shares of restricted stock were granted with a weighted average grant date fair value of $5.50 per share and 4 shares of restricted stock were forfeited. Additionally, during the three months ended September 30, 2025, 1 shares of restricted stock vested. During the three months ended September 30, 2024, 85 shares of restricted stock were granted with a weighted average grant date fair value of $4.51 per share and no share of restricted stock were forfeited. Additionally, during the three months ended September 30, 2024, 16 shares of restricted stock vested.</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2025, 70 shares of restricted stock were granted with a weighted average grant date fair value of $5.50 per share and 26 shares of restricted stock were forfeited. Additionally, during the nine months ended September 30, 2025, 147 shares of restricted stock vested. During the nine months ended September 30, 2024, 207 shares of restricted stock were granted with a weighted average grant date fair value of $4.82 per share and 43 shares of restricted stock were forfeited. Additionally, during the nine months ended September 30, 2024, 158 shares of restricted stock vested.</w:t>
      </w:r>
    </w:p>
    <w:p>
      <w:pPr>
        <w:spacing w:after="0" w:line="194"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September 30, 2025 and 2024, the Company had no unvested outstanding options and no outstanding shares of restricted stock that were subject to performance-based or market-based vesting conditions.</w:t>
      </w:r>
    </w:p>
    <w:p>
      <w:pPr>
        <w:spacing w:after="0" w:line="1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auto"/>
        </w:rPr>
        <w:t>(b) Employee Stock Purchase Plan</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September 30, 2025 and 2024, 4 and 0 shares were issued under the ESPP, respectively. During the nine months ended September 30, 2025 and 2024, 4 and 24 shares were issued under the ESPP, respectively. The Company recorded compensation charges related to the ESPP of $(1) and $1 for the three months ended September 30, 2025 and 2024, respectively, and $3 and $7 for the nine months ended September 30, 2025 and 2024, respectively.</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 Stock-Based Compensation Expense</w:t>
      </w:r>
    </w:p>
    <w:p>
      <w:pPr>
        <w:spacing w:after="0" w:line="97"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stock-based compensation expense, including expense for the ESPP, in the Company's consolidated statements of operations for the nine months ended September 30, 2025 and 2024, respectively:</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19"/>
                <w:szCs w:val="19"/>
                <w:color w:val="auto"/>
              </w:rPr>
            </w:pPr>
          </w:p>
        </w:tc>
        <w:tc>
          <w:tcPr>
            <w:tcW w:w="3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Borders>
              <w:bottom w:val="single" w:sz="8" w:color="auto"/>
            </w:tcBorders>
            <w:gridSpan w:val="5"/>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16"/>
        </w:trPr>
        <w:tc>
          <w:tcPr>
            <w:tcW w:w="44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 sales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r>
      <w:tr>
        <w:trPr>
          <w:trHeight w:val="223"/>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235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w:t>
            </w:r>
          </w:p>
        </w:tc>
      </w:tr>
      <w:tr>
        <w:trPr>
          <w:trHeight w:val="216"/>
        </w:trPr>
        <w:tc>
          <w:tcPr>
            <w:tcW w:w="4420" w:type="dxa"/>
            <w:vAlign w:val="bottom"/>
          </w:tcPr>
          <w:p>
            <w:pPr>
              <w:spacing w:after="0"/>
              <w:rPr>
                <w:sz w:val="18"/>
                <w:szCs w:val="18"/>
                <w:color w:val="auto"/>
              </w:rPr>
            </w:pP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366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385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1,629</w:t>
            </w:r>
          </w:p>
        </w:tc>
      </w:tr>
      <w:tr>
        <w:trPr>
          <w:trHeight w:val="20"/>
        </w:trPr>
        <w:tc>
          <w:tcPr>
            <w:tcW w:w="4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 Accumulated Other Comprehensive Loss (AOCL)</w:t>
      </w:r>
    </w:p>
    <w:p>
      <w:pPr>
        <w:spacing w:after="0" w:line="254" w:lineRule="exact"/>
        <w:rPr>
          <w:sz w:val="20"/>
          <w:szCs w:val="20"/>
          <w:color w:val="auto"/>
        </w:rPr>
      </w:pPr>
    </w:p>
    <w:p>
      <w:pPr>
        <w:jc w:val="both"/>
        <w:ind w:firstLine="393"/>
        <w:spacing w:after="0" w:line="276" w:lineRule="auto"/>
        <w:rPr>
          <w:sz w:val="20"/>
          <w:szCs w:val="20"/>
          <w:color w:val="auto"/>
        </w:rPr>
      </w:pPr>
      <w:r>
        <w:rPr>
          <w:rFonts w:ascii="Times New Roman" w:cs="Times New Roman" w:eastAsia="Times New Roman" w:hAnsi="Times New Roman"/>
          <w:sz w:val="17"/>
          <w:szCs w:val="17"/>
          <w:color w:val="auto"/>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2" w:name="page13"/>
    <w:bookmarkEnd w:id="12"/>
    <w:tbl>
      <w:tblPr>
        <w:tblLayout w:type="fixed"/>
        <w:tblInd w:w="40" w:type="dxa"/>
        <w:tblCellMar>
          <w:top w:w="0" w:type="dxa"/>
          <w:left w:w="0" w:type="dxa"/>
          <w:bottom w:w="0" w:type="dxa"/>
          <w:right w:w="0" w:type="dxa"/>
        </w:tblCellMar>
      </w:tblPr>
      <w:tr>
        <w:trPr>
          <w:trHeight w:val="228"/>
        </w:trPr>
        <w:tc>
          <w:tcPr>
            <w:tcW w:w="6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balances for the three months ended September 30, 2025 and 2024 are as follows: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6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2025</w:t>
            </w:r>
          </w:p>
        </w:tc>
        <w:tc>
          <w:tcPr>
            <w:tcW w:w="260" w:type="dxa"/>
            <w:vAlign w:val="bottom"/>
            <w:tcBorders>
              <w:top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loss</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2025</w:t>
            </w:r>
          </w:p>
        </w:tc>
        <w:tc>
          <w:tcPr>
            <w:tcW w:w="2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(3,991)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2024</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(3,857)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The balances for the nine months ended September 30, 2025 and 2024 are as follows:</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6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(4,032)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2025</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(3,708)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6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Total Accumulated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6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3"/>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Translation</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2023</w:t>
            </w:r>
          </w:p>
        </w:tc>
        <w:tc>
          <w:tcPr>
            <w:tcW w:w="260" w:type="dxa"/>
            <w:vAlign w:val="bottom"/>
            <w:tcBorders>
              <w:top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other comprehensive income</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2024</w:t>
            </w:r>
          </w:p>
        </w:tc>
        <w:tc>
          <w:tcPr>
            <w:tcW w:w="260" w:type="dxa"/>
            <w:vAlign w:val="bottom"/>
            <w:tcBorders>
              <w:bottom w:val="single" w:sz="8" w:color="auto"/>
            </w:tcBorders>
            <w:gridSpan w:val="2"/>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(6)</w:t>
        <w:tab/>
        <w:t>Net Loss per Common Share</w:t>
      </w:r>
    </w:p>
    <w:p>
      <w:pPr>
        <w:spacing w:after="0" w:line="252" w:lineRule="exact"/>
        <w:rPr>
          <w:sz w:val="20"/>
          <w:szCs w:val="20"/>
          <w:color w:val="auto"/>
        </w:rPr>
      </w:pPr>
    </w:p>
    <w:p>
      <w:pPr>
        <w:jc w:val="both"/>
        <w:ind w:firstLine="205"/>
        <w:spacing w:after="0" w:line="263" w:lineRule="auto"/>
        <w:rPr>
          <w:sz w:val="20"/>
          <w:szCs w:val="20"/>
          <w:color w:val="auto"/>
        </w:rPr>
      </w:pPr>
      <w:r>
        <w:rPr>
          <w:rFonts w:ascii="Times New Roman" w:cs="Times New Roman" w:eastAsia="Times New Roman" w:hAnsi="Times New Roman"/>
          <w:sz w:val="17"/>
          <w:szCs w:val="17"/>
          <w:color w:val="auto"/>
        </w:rPr>
        <w:t>Basic net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and nine months ended September 30, 2025, since there was a net loss, the company excluded 1,350 and 1,187 shares underlying outstanding stock options and non-vested restricted shares from its diluted loss per share calculation as inclusion of these convertible securities would have reduced the net loss per share. For the three and nine months ended September 30, 2024, since there was a net loss, the company excluded 1,165 and 1,088 shares, respectively, in outstanding stock options and non-vested restricted shares from its diluted loss per share calculation, as inclusion of these convertible securities would have reduced the net loss per share.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3" w:name="page14"/>
    <w:bookmarkEnd w:id="13"/>
    <w:p>
      <w:pPr>
        <w:ind w:left="480"/>
        <w:spacing w:after="0"/>
        <w:rPr>
          <w:sz w:val="20"/>
          <w:szCs w:val="20"/>
          <w:color w:val="auto"/>
        </w:rPr>
      </w:pPr>
      <w:r>
        <w:rPr>
          <w:rFonts w:ascii="Times New Roman" w:cs="Times New Roman" w:eastAsia="Times New Roman" w:hAnsi="Times New Roman"/>
          <w:sz w:val="17"/>
          <w:szCs w:val="17"/>
          <w:color w:val="auto"/>
        </w:rPr>
        <w:t>A reconciliation of the basic and diluted weighted average common shares outstanding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30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520" w:type="dxa"/>
            <w:vAlign w:val="bottom"/>
          </w:tcPr>
          <w:p>
            <w:pPr>
              <w:spacing w:after="0"/>
              <w:rPr>
                <w:sz w:val="19"/>
                <w:szCs w:val="19"/>
                <w:color w:val="auto"/>
              </w:rPr>
            </w:pPr>
          </w:p>
        </w:tc>
        <w:tc>
          <w:tcPr>
            <w:tcW w:w="242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300" w:type="dxa"/>
            <w:vAlign w:val="bottom"/>
            <w:gridSpan w:val="3"/>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65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outstanding—basic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19,361</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19,367</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Dilutive common shares issuable in connection with stock plans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outstanding—diluted</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19,367</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7"/>
          <w:szCs w:val="17"/>
          <w:b w:val="1"/>
          <w:bCs w:val="1"/>
          <w:color w:val="auto"/>
        </w:rPr>
        <w:t>(7)</w:t>
        <w:tab/>
        <w:t>Inventories</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Inventories are stated at the lower of cost or net realizable value using the first-in first-out costing method. Inventories as of September 30, 2025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include the costs of material, labor, and factory overhead. Components of inventories consist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1640" w:type="dxa"/>
            <w:vAlign w:val="bottom"/>
            <w:shd w:val="clear" w:color="auto" w:fill="CCEEFF"/>
          </w:tcPr>
          <w:p>
            <w:pPr>
              <w:jc w:val="right"/>
              <w:ind w:right="14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15,379</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1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16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5,105</w:t>
            </w:r>
          </w:p>
        </w:tc>
      </w:tr>
      <w:tr>
        <w:trPr>
          <w:trHeight w:val="216"/>
        </w:trPr>
        <w:tc>
          <w:tcPr>
            <w:tcW w:w="6760" w:type="dxa"/>
            <w:vAlign w:val="bottom"/>
          </w:tcPr>
          <w:p>
            <w:pPr>
              <w:spacing w:after="0"/>
              <w:rPr>
                <w:sz w:val="18"/>
                <w:szCs w:val="18"/>
                <w:color w:val="auto"/>
              </w:rPr>
            </w:pPr>
          </w:p>
        </w:tc>
        <w:tc>
          <w:tcPr>
            <w:tcW w:w="1640" w:type="dxa"/>
            <w:vAlign w:val="bottom"/>
            <w:tcBorders>
              <w:bottom w:val="single" w:sz="8" w:color="auto"/>
            </w:tcBorders>
          </w:tcPr>
          <w:p>
            <w:pPr>
              <w:jc w:val="right"/>
              <w:ind w:right="145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13,394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22,953</w:t>
            </w:r>
          </w:p>
        </w:tc>
      </w:tr>
      <w:tr>
        <w:trPr>
          <w:trHeight w:val="20"/>
        </w:trPr>
        <w:tc>
          <w:tcPr>
            <w:tcW w:w="67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three and nine months ended September 30, 2025, the Company recorded a $5,510 inventory write-down related primarily to further reduced demand for certain of the Company’s hardware products as well as a reduction in the prices the Company charges for certain TracNet H-series terminals. The Company implemented this price reduction at the end of the third quarter of 2025 and, as a result, reduced the value of its remaining inventory of those products to net realizable value based on lower customer pricing. Please see Note 17 for additional details surrounding the wind-down of the Company’s manufacturing activities.</w:t>
      </w:r>
    </w:p>
    <w:p>
      <w:pPr>
        <w:spacing w:after="0" w:line="194" w:lineRule="exact"/>
        <w:rPr>
          <w:sz w:val="20"/>
          <w:szCs w:val="20"/>
          <w:color w:val="auto"/>
        </w:rPr>
      </w:pPr>
    </w:p>
    <w:p>
      <w:pPr>
        <w:ind w:left="420" w:hanging="415"/>
        <w:spacing w:after="0"/>
        <w:tabs>
          <w:tab w:leader="none" w:pos="4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676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Starlink pooled data</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14,137</w:t>
            </w: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prepaid expenses and other current assets</w:t>
            </w:r>
          </w:p>
        </w:tc>
        <w:tc>
          <w:tcPr>
            <w:tcW w:w="1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41"/>
        </w:trPr>
        <w:tc>
          <w:tcPr>
            <w:tcW w:w="67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second quarter of 2024, KVH expanded its relationship with Starlink through a bulk data distribution agreement. Under the agreement, KVH prepaid for access to a large block of Starlink Global Priority data at favorable rates. The agreement provides KVH flexibility in the development and sales of custom, cost-effective airtime plans using Starlink’s Global Priority service. KVH began drawing from this prepaid pooled data in the third quarter of 2024. This block of data is expected to be fully consumed by the end of the fourth quarter of 2025. KVH anticipates that it will purchase another, substantially larger block of Starlink Global Priority data in the fourth quarter of 2025.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14" w:name="page15"/>
    <w:bookmarkEnd w:id="14"/>
    <w:p>
      <w:pPr>
        <w:ind w:left="420" w:hanging="415"/>
        <w:spacing w:after="0"/>
        <w:tabs>
          <w:tab w:leader="none" w:pos="4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net, as of September 30, 2025 and December 31, 2024 consist of the following:</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Pr>
          <w:p>
            <w:pPr>
              <w:spacing w:after="0"/>
              <w:rPr>
                <w:sz w:val="17"/>
                <w:szCs w:val="17"/>
                <w:color w:val="auto"/>
              </w:rPr>
            </w:pPr>
          </w:p>
        </w:tc>
        <w:tc>
          <w:tcPr>
            <w:tcW w:w="18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67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w:t>
            </w:r>
          </w:p>
        </w:tc>
      </w:tr>
      <w:tr>
        <w:trPr>
          <w:trHeight w:val="22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2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Revenue-generating assets</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61,380</w:t>
            </w:r>
          </w:p>
        </w:tc>
      </w:tr>
      <w:tr>
        <w:trPr>
          <w:trHeight w:val="22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 and computer equipment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10,561</w:t>
            </w:r>
          </w:p>
        </w:tc>
      </w:tr>
      <w:tr>
        <w:trPr>
          <w:trHeight w:val="22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6"/>
        </w:trPr>
        <w:tc>
          <w:tcPr>
            <w:tcW w:w="67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68,716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78,329</w:t>
            </w:r>
          </w:p>
        </w:tc>
      </w:tr>
      <w:tr>
        <w:trPr>
          <w:trHeight w:val="22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(51,315)</w:t>
            </w:r>
          </w:p>
        </w:tc>
      </w:tr>
      <w:tr>
        <w:trPr>
          <w:trHeight w:val="216"/>
        </w:trPr>
        <w:tc>
          <w:tcPr>
            <w:tcW w:w="67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22,295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27,014</w:t>
            </w:r>
          </w:p>
        </w:tc>
      </w:tr>
      <w:tr>
        <w:trPr>
          <w:trHeight w:val="20"/>
        </w:trPr>
        <w:tc>
          <w:tcPr>
            <w:tcW w:w="6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Depreciation expense was $2,525 and $3,163 for the three months ended September 30, 2025 and 2024, respectively, and $7,809 and $9,947 for the nine months ended September 30, 2025 and 2024, respectively.</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Certain revenue-generating hardware assets are utilized by the Company in the delivery of the Company's airtime services, media and other content.</w:t>
      </w:r>
    </w:p>
    <w:p>
      <w:pPr>
        <w:spacing w:after="0" w:line="250"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As of September 30, 2025 and December 31, 2024, the long-lived tangible assets related to the Company’s international subsidiaries were less than 10% of the Company’s long-lived tangible assets.</w:t>
      </w:r>
    </w:p>
    <w:p>
      <w:pPr>
        <w:spacing w:after="0" w:line="17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the third quarter of 2024, the Company commenced its plan to sell the warehouse building and surface parking lot located at 75 Enterprise Center in Middletown, Rhode Island (“75 Enterprise Center”). As of September 30, 2024, 75 Enterprise Center had a carrying value of approximately $7.8 million. The Company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The Company recorded an impairment charge of $1.1 million during the three and nine months ended September 30, 2024, as the carrying value of 75 Enterprise Center at the time the asset for sale criteria were met exceeded the fair value less costs to sell. The sale was completed in September 2025, resulting in a loss of $0.3 million, which is included in other income (expense), net in the Company's consolidated statement of operations for the three and nine months ended September 30, 2025. The Company also entered into an agreement with the buyer to lease this property until the end of March 2026 for approximately $0.1 million.</w:t>
      </w:r>
    </w:p>
    <w:p>
      <w:pPr>
        <w:spacing w:after="0" w:line="200" w:lineRule="exact"/>
        <w:rPr>
          <w:sz w:val="20"/>
          <w:szCs w:val="20"/>
          <w:color w:val="auto"/>
        </w:rPr>
      </w:pPr>
    </w:p>
    <w:p>
      <w:pPr>
        <w:spacing w:after="0" w:line="215"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Additionally, in the third quarter of 2024, the Company commenced its plan to sell the property, building, improvements, and land located at 50 Enterprise Center in Middletown, Rhode Island (“50 Enterprise Center”). As of September 30, 2024, 50 Enterprise Center had a carrying value of approximately $3.6 million. The Company determined that all of the criteria to classify 50 Enterprise Center as held for sale had been met as of September 30, 2024. The estimated fair value of 50 Enterprise Center at that date exceeded its carrying value. In March 2025, the Company entered into an agreement with another buyer to sell 50 Enterprise Center for $5.3 million. The sale was completed in June 2025, resulting in a gain of $1.3 million, which is included in other income (expense), net in the Company's consolidated statement of operations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5" w:name="page16"/>
    <w:bookmarkEnd w:id="15"/>
    <w:p>
      <w:pPr>
        <w:ind w:left="520" w:hanging="515"/>
        <w:spacing w:after="0"/>
        <w:tabs>
          <w:tab w:leader="none" w:pos="5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Product Warranty</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September 30, 2025 and December 31, 2024, the Company had accrued product warranty costs of $754 and $607,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The following table summarizes product warranty activity during 2025 and 2024:</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25"/>
        </w:trPr>
        <w:tc>
          <w:tcPr>
            <w:tcW w:w="7860" w:type="dxa"/>
            <w:vAlign w:val="bottom"/>
          </w:tcPr>
          <w:p>
            <w:pPr>
              <w:spacing w:after="0"/>
              <w:rPr>
                <w:sz w:val="24"/>
                <w:szCs w:val="24"/>
                <w:color w:val="auto"/>
              </w:rPr>
            </w:pPr>
          </w:p>
        </w:tc>
        <w:tc>
          <w:tcPr>
            <w:tcW w:w="2860" w:type="dxa"/>
            <w:vAlign w:val="bottom"/>
            <w:gridSpan w:val="4"/>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520" w:type="dxa"/>
            <w:vAlign w:val="bottom"/>
          </w:tcPr>
          <w:p>
            <w:pPr>
              <w:spacing w:after="0"/>
              <w:rPr>
                <w:sz w:val="24"/>
                <w:szCs w:val="24"/>
                <w:color w:val="auto"/>
              </w:rPr>
            </w:pPr>
          </w:p>
        </w:tc>
      </w:tr>
      <w:tr>
        <w:trPr>
          <w:trHeight w:val="230"/>
        </w:trPr>
        <w:tc>
          <w:tcPr>
            <w:tcW w:w="78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20" w:type="dxa"/>
            <w:vAlign w:val="bottom"/>
            <w:tcBorders>
              <w:bottom w:val="single" w:sz="8" w:color="auto"/>
            </w:tcBorders>
          </w:tcPr>
          <w:p>
            <w:pPr>
              <w:spacing w:after="0"/>
              <w:rPr>
                <w:sz w:val="19"/>
                <w:szCs w:val="19"/>
                <w:color w:val="auto"/>
              </w:rPr>
            </w:pPr>
          </w:p>
        </w:tc>
      </w:tr>
      <w:tr>
        <w:trPr>
          <w:trHeight w:val="216"/>
        </w:trPr>
        <w:tc>
          <w:tcPr>
            <w:tcW w:w="78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ind w:left="93"/>
              <w:spacing w:after="0"/>
              <w:rPr>
                <w:sz w:val="20"/>
                <w:szCs w:val="20"/>
                <w:color w:val="auto"/>
              </w:rPr>
            </w:pPr>
            <w:r>
              <w:rPr>
                <w:rFonts w:ascii="Times New Roman" w:cs="Times New Roman" w:eastAsia="Times New Roman" w:hAnsi="Times New Roman"/>
                <w:sz w:val="17"/>
                <w:szCs w:val="17"/>
                <w:color w:val="auto"/>
              </w:rPr>
              <w:t>607</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828</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Charges to expense</w:t>
            </w:r>
          </w:p>
        </w:tc>
        <w:tc>
          <w:tcPr>
            <w:tcW w:w="1060" w:type="dxa"/>
            <w:vAlign w:val="bottom"/>
          </w:tcPr>
          <w:p>
            <w:pPr>
              <w:spacing w:after="0"/>
              <w:rPr>
                <w:sz w:val="19"/>
                <w:szCs w:val="19"/>
                <w:color w:val="auto"/>
              </w:rPr>
            </w:pPr>
          </w:p>
        </w:tc>
        <w:tc>
          <w:tcPr>
            <w:tcW w:w="5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jc w:val="center"/>
              <w:ind w:left="53"/>
              <w:spacing w:after="0"/>
              <w:rPr>
                <w:sz w:val="20"/>
                <w:szCs w:val="20"/>
                <w:color w:val="auto"/>
              </w:rPr>
            </w:pPr>
            <w:r>
              <w:rPr>
                <w:rFonts w:ascii="Times New Roman" w:cs="Times New Roman" w:eastAsia="Times New Roman" w:hAnsi="Times New Roman"/>
                <w:sz w:val="17"/>
                <w:szCs w:val="17"/>
                <w:color w:val="auto"/>
              </w:rPr>
              <w:t>398</w:t>
            </w: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 incurred</w:t>
            </w: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(478)</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rPr>
              <w:t>(642)</w:t>
            </w:r>
          </w:p>
        </w:tc>
      </w:tr>
      <w:tr>
        <w:trPr>
          <w:trHeight w:val="216"/>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center"/>
              <w:ind w:left="93"/>
              <w:spacing w:after="0"/>
              <w:rPr>
                <w:sz w:val="20"/>
                <w:szCs w:val="20"/>
                <w:color w:val="auto"/>
              </w:rPr>
            </w:pPr>
            <w:r>
              <w:rPr>
                <w:rFonts w:ascii="Times New Roman" w:cs="Times New Roman" w:eastAsia="Times New Roman" w:hAnsi="Times New Roman"/>
                <w:sz w:val="17"/>
                <w:szCs w:val="17"/>
                <w:color w:val="auto"/>
              </w:rPr>
              <w:t>754</w:t>
            </w:r>
          </w:p>
        </w:tc>
        <w:tc>
          <w:tcPr>
            <w:tcW w:w="120" w:type="dxa"/>
            <w:vAlign w:val="bottom"/>
          </w:tcPr>
          <w:p>
            <w:pPr>
              <w:spacing w:after="0"/>
              <w:rPr>
                <w:sz w:val="18"/>
                <w:szCs w:val="18"/>
                <w:color w:val="auto"/>
              </w:rPr>
            </w:pPr>
          </w:p>
        </w:tc>
        <w:tc>
          <w:tcPr>
            <w:tcW w:w="1120" w:type="dxa"/>
            <w:vAlign w:val="bottom"/>
            <w:tcBorders>
              <w:bottom w:val="single" w:sz="8" w:color="auto"/>
            </w:tcBorders>
          </w:tcPr>
          <w:p>
            <w:pPr>
              <w:jc w:val="right"/>
              <w:ind w:right="93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7"/>
                <w:szCs w:val="17"/>
                <w:color w:val="auto"/>
              </w:rPr>
              <w:t>584</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500" w:hanging="495"/>
        <w:spacing w:after="0"/>
        <w:tabs>
          <w:tab w:leader="none" w:pos="5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Legal Matters</w:t>
      </w:r>
    </w:p>
    <w:p>
      <w:pPr>
        <w:spacing w:after="0" w:line="226" w:lineRule="exact"/>
        <w:rPr>
          <w:sz w:val="20"/>
          <w:szCs w:val="20"/>
          <w:color w:val="auto"/>
        </w:rPr>
      </w:pPr>
    </w:p>
    <w:p>
      <w:pPr>
        <w:jc w:val="both"/>
        <w:ind w:firstLine="175"/>
        <w:spacing w:after="0" w:line="276" w:lineRule="auto"/>
        <w:rPr>
          <w:sz w:val="20"/>
          <w:szCs w:val="20"/>
          <w:color w:val="auto"/>
        </w:rPr>
      </w:pPr>
      <w:r>
        <w:rPr>
          <w:rFonts w:ascii="Times New Roman" w:cs="Times New Roman" w:eastAsia="Times New Roman" w:hAnsi="Times New Roman"/>
          <w:sz w:val="17"/>
          <w:szCs w:val="17"/>
          <w:color w:val="auto"/>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5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xml:space="preserve">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spacing w:after="0" w:line="198" w:lineRule="exact"/>
        <w:rPr>
          <w:sz w:val="20"/>
          <w:szCs w:val="20"/>
          <w:color w:val="auto"/>
        </w:rPr>
      </w:pPr>
    </w:p>
    <w:p>
      <w:pPr>
        <w:ind w:left="480"/>
        <w:spacing w:after="0"/>
        <w:tabs>
          <w:tab w:leader="none" w:pos="1200" w:val="left"/>
        </w:tabs>
        <w:rPr>
          <w:sz w:val="20"/>
          <w:szCs w:val="20"/>
          <w:color w:val="auto"/>
        </w:rPr>
      </w:pPr>
      <w:r>
        <w:rPr>
          <w:rFonts w:ascii="Times New Roman" w:cs="Times New Roman" w:eastAsia="Times New Roman" w:hAnsi="Times New Roman"/>
          <w:sz w:val="17"/>
          <w:szCs w:val="17"/>
          <w:color w:val="auto"/>
        </w:rPr>
        <w:t>Level 1:</w:t>
        <w:tab/>
        <w:t>Unadjusted quoted prices in active markets that are accessible at the measurement date for identical, unrestricted assets or liabilities.</w:t>
      </w:r>
    </w:p>
    <w:p>
      <w:pPr>
        <w:spacing w:after="0" w:line="250" w:lineRule="exact"/>
        <w:rPr>
          <w:sz w:val="20"/>
          <w:szCs w:val="20"/>
          <w:color w:val="auto"/>
        </w:rPr>
      </w:pPr>
    </w:p>
    <w:p>
      <w:pPr>
        <w:ind w:left="1240" w:hanging="785"/>
        <w:spacing w:after="0" w:line="296" w:lineRule="auto"/>
        <w:tabs>
          <w:tab w:leader="none" w:pos="1220" w:val="left"/>
        </w:tabs>
        <w:rPr>
          <w:sz w:val="20"/>
          <w:szCs w:val="20"/>
          <w:color w:val="auto"/>
        </w:rPr>
      </w:pPr>
      <w:r>
        <w:rPr>
          <w:rFonts w:ascii="Times New Roman" w:cs="Times New Roman" w:eastAsia="Times New Roman" w:hAnsi="Times New Roman"/>
          <w:sz w:val="17"/>
          <w:szCs w:val="17"/>
          <w:color w:val="auto"/>
        </w:rPr>
        <w:t>Level 2:</w:t>
        <w:tab/>
        <w:t>Quoted prices for similar assets or liabilities in active markets; or observable prices that are based on observable market data, based on directly or indirectly market-corroborated inputs.</w:t>
      </w:r>
    </w:p>
    <w:p>
      <w:pPr>
        <w:spacing w:after="0" w:line="173" w:lineRule="exact"/>
        <w:rPr>
          <w:sz w:val="20"/>
          <w:szCs w:val="20"/>
          <w:color w:val="auto"/>
        </w:rPr>
      </w:pPr>
    </w:p>
    <w:p>
      <w:pPr>
        <w:ind w:left="1260" w:hanging="785"/>
        <w:spacing w:after="0" w:line="296" w:lineRule="auto"/>
        <w:tabs>
          <w:tab w:leader="none" w:pos="1240" w:val="left"/>
        </w:tabs>
        <w:rPr>
          <w:sz w:val="20"/>
          <w:szCs w:val="20"/>
          <w:color w:val="auto"/>
        </w:rPr>
      </w:pPr>
      <w:r>
        <w:rPr>
          <w:rFonts w:ascii="Times New Roman" w:cs="Times New Roman" w:eastAsia="Times New Roman" w:hAnsi="Times New Roman"/>
          <w:sz w:val="17"/>
          <w:szCs w:val="17"/>
          <w:color w:val="auto"/>
        </w:rPr>
        <w:t>Level 3:</w:t>
        <w:tab/>
        <w:t>Unobservable inputs that are supported by little or no market activity and are developed based on the best information available given the circumstances.</w:t>
      </w:r>
    </w:p>
    <w:p>
      <w:pPr>
        <w:spacing w:after="0" w:line="2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financial assets or liabilities were measured at fair value based upon the ASC 820 fair value hierarchy as of September 30, 2025 or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153"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carrying amount of certain financial instruments approximates fair value due to their short-term, highly liquid nature. These instruments include cash and cash equivalents, accounts receivable, accounts payable, and accrued expenses. The carrying amount of the Company's operating and financing lease liabilities approximates fair value based on currently available quoted rates of similarly structured borrowings.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i w:val="1"/>
          <w:iCs w:val="1"/>
          <w:color w:val="auto"/>
        </w:rPr>
        <w:t>Assets Measured and Recorded at Fair Value on a Nonrecurring Basis</w:t>
      </w:r>
    </w:p>
    <w:p>
      <w:pPr>
        <w:spacing w:after="0" w:line="25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Company's non-financial assets, such as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nine months ended September 30, 2025. There was a $1.1 million impairment of the Company's long-lived assets during the nine months ended September 30, 2024. See note 9 for further information. The Company does not have any liabilities that are recorded at fair value on a non-recurring basis.</w:t>
      </w:r>
    </w:p>
    <w:p>
      <w:pPr>
        <w:spacing w:after="0" w:line="194"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Intangible Assets</w:t>
      </w:r>
    </w:p>
    <w:p>
      <w:pPr>
        <w:spacing w:after="0" w:line="252"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spacing w:after="0" w:line="200" w:lineRule="exact"/>
        <w:rPr>
          <w:sz w:val="20"/>
          <w:szCs w:val="20"/>
          <w:color w:val="auto"/>
        </w:rPr>
      </w:pP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changes in the carrying amount of intangible assets during the nine months ended September 30, 2025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Amounts</w:t>
            </w:r>
          </w:p>
        </w:tc>
      </w:tr>
      <w:tr>
        <w:trPr>
          <w:trHeight w:val="216"/>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r>
      <w:tr>
        <w:trPr>
          <w:trHeight w:val="223"/>
        </w:trPr>
        <w:tc>
          <w:tcPr>
            <w:tcW w:w="9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expense</w:t>
            </w: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w:t>
            </w:r>
          </w:p>
        </w:tc>
      </w:tr>
      <w:tr>
        <w:trPr>
          <w:trHeight w:val="223"/>
        </w:trPr>
        <w:tc>
          <w:tcPr>
            <w:tcW w:w="9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Intangible assets acquired in asset acquisition</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3"/>
        </w:trPr>
        <w:tc>
          <w:tcPr>
            <w:tcW w:w="9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1"/>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September 30, 2025</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Intangible assets arose from the purchase of distribution rights from Kognitive Networks Inc. in October 2023 and the purchase of KVH Industries Norway AS in September 2010.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w:t>
      </w:r>
    </w:p>
    <w:p>
      <w:pPr>
        <w:spacing w:after="0" w:line="190"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 xml:space="preserve">In January 2017, the Company completed the acquisition of certain subscriber relationships from a third party. This acquisition did not meet the definition of a business under ASC 2017-01, </w:t>
      </w:r>
      <w:r>
        <w:rPr>
          <w:rFonts w:ascii="Times New Roman" w:cs="Times New Roman" w:eastAsia="Times New Roman" w:hAnsi="Times New Roman"/>
          <w:sz w:val="17"/>
          <w:szCs w:val="17"/>
          <w:i w:val="1"/>
          <w:iCs w:val="1"/>
          <w:color w:val="auto"/>
        </w:rPr>
        <w:t>Business Combinations (Topic 805)-Clarifying the Definition of a Business</w:t>
      </w:r>
      <w:r>
        <w:rPr>
          <w:rFonts w:ascii="Times New Roman" w:cs="Times New Roman" w:eastAsia="Times New Roman" w:hAnsi="Times New Roman"/>
          <w:sz w:val="17"/>
          <w:szCs w:val="17"/>
          <w:color w:val="auto"/>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7" w:name="page18"/>
    <w:bookmarkEnd w:id="17"/>
    <w:p>
      <w:pPr>
        <w:ind w:left="480"/>
        <w:spacing w:after="0"/>
        <w:rPr>
          <w:sz w:val="20"/>
          <w:szCs w:val="20"/>
          <w:color w:val="auto"/>
        </w:rPr>
      </w:pPr>
      <w:r>
        <w:rPr>
          <w:rFonts w:ascii="Times New Roman" w:cs="Times New Roman" w:eastAsia="Times New Roman" w:hAnsi="Times New Roman"/>
          <w:sz w:val="17"/>
          <w:szCs w:val="17"/>
          <w:color w:val="auto"/>
        </w:rPr>
        <w:t>Acquired intangible assets are subject to amortization. The following table summarizes acquired intangible assets at September 30, 2025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2024, respectively:</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6780" w:type="dxa"/>
            <w:vAlign w:val="bottom"/>
          </w:tcPr>
          <w:p>
            <w:pPr>
              <w:spacing w:after="0"/>
              <w:rPr>
                <w:sz w:val="17"/>
                <w:szCs w:val="17"/>
                <w:color w:val="auto"/>
              </w:rPr>
            </w:pP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Gross Carrying</w:t>
            </w:r>
          </w:p>
        </w:tc>
        <w:tc>
          <w:tcPr>
            <w:tcW w:w="16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80" w:type="dxa"/>
            <w:vAlign w:val="bottom"/>
          </w:tcPr>
          <w:p>
            <w:pPr>
              <w:spacing w:after="0"/>
              <w:rPr>
                <w:sz w:val="17"/>
                <w:szCs w:val="17"/>
                <w:color w:val="auto"/>
              </w:rPr>
            </w:pPr>
          </w:p>
        </w:tc>
        <w:tc>
          <w:tcPr>
            <w:tcW w:w="130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0" w:type="dxa"/>
            <w:vAlign w:val="bottom"/>
          </w:tcPr>
          <w:p>
            <w:pPr>
              <w:spacing w:after="0"/>
              <w:rPr>
                <w:sz w:val="1"/>
                <w:szCs w:val="1"/>
                <w:color w:val="auto"/>
              </w:rPr>
            </w:pPr>
          </w:p>
        </w:tc>
      </w:tr>
      <w:tr>
        <w:trPr>
          <w:trHeight w:val="233"/>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180" w:type="dxa"/>
            <w:vAlign w:val="bottom"/>
          </w:tcPr>
          <w:p>
            <w:pPr>
              <w:spacing w:after="0"/>
              <w:rPr>
                <w:sz w:val="20"/>
                <w:szCs w:val="20"/>
                <w:color w:val="auto"/>
              </w:rPr>
            </w:pPr>
          </w:p>
        </w:tc>
        <w:tc>
          <w:tcPr>
            <w:tcW w:w="1300" w:type="dxa"/>
            <w:vAlign w:val="bottom"/>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06"/>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September 30, 2025</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1"/>
        </w:trPr>
        <w:tc>
          <w:tcPr>
            <w:tcW w:w="6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Subscriber relationships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3"/>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 rights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0" w:type="dxa"/>
            <w:vAlign w:val="bottom"/>
          </w:tcPr>
          <w:p>
            <w:pPr>
              <w:spacing w:after="0"/>
              <w:rPr>
                <w:sz w:val="1"/>
                <w:szCs w:val="1"/>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Intellectual property</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Amortization expense related to intangible assets was $107 and $102 for the three months ended September 30, 2025 and 2024, respectively, and $317 and $303 for the nine months ended September 30, 2025 and 2024, respectively. Amortization expense was categorized as general and administrative expense.</w:t>
      </w:r>
    </w:p>
    <w:p>
      <w:pPr>
        <w:spacing w:after="0" w:line="1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September 30, 2025, the total weighted average remaining useful lives of the definite-lived intangible assets was 1.3 years.</w:t>
      </w:r>
    </w:p>
    <w:p>
      <w:pPr>
        <w:spacing w:after="0" w:line="3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Estimated future amortization expense for intangible assets recorded by the Company at September 30,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shd w:val="clear" w:color="auto" w:fill="CCEEFF"/>
          </w:tcPr>
          <w:p>
            <w:pPr>
              <w:spacing w:after="0"/>
              <w:rPr>
                <w:sz w:val="13"/>
                <w:szCs w:val="13"/>
                <w:color w:val="auto"/>
              </w:rPr>
            </w:pPr>
          </w:p>
        </w:tc>
        <w:tc>
          <w:tcPr>
            <w:tcW w:w="16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97"/>
              </w:rPr>
              <w:t>Years ending December 31,</w:t>
            </w:r>
          </w:p>
        </w:tc>
        <w:tc>
          <w:tcPr>
            <w:tcW w:w="796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auto"/>
            </w:tcBorders>
            <w:vMerge w:val="continue"/>
            <w:shd w:val="clear" w:color="auto" w:fill="CCEEFF"/>
          </w:tcPr>
          <w:p>
            <w:pPr>
              <w:spacing w:after="0"/>
              <w:rPr>
                <w:sz w:val="16"/>
                <w:szCs w:val="16"/>
                <w:color w:val="auto"/>
              </w:rPr>
            </w:pPr>
          </w:p>
        </w:tc>
        <w:tc>
          <w:tcPr>
            <w:tcW w:w="7960" w:type="dxa"/>
            <w:vAlign w:val="bottom"/>
            <w:tcBorders>
              <w:bottom w:val="single" w:sz="8" w:color="CCEEFF"/>
            </w:tcBorders>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00"/>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21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7960" w:type="dxa"/>
            <w:vAlign w:val="bottom"/>
          </w:tcPr>
          <w:p>
            <w:pPr>
              <w:spacing w:after="0"/>
              <w:rPr>
                <w:sz w:val="18"/>
                <w:szCs w:val="18"/>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79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18" w:name="page19"/>
    <w:bookmarkEnd w:id="18"/>
    <w:p>
      <w:pPr>
        <w:ind w:left="520" w:hanging="515"/>
        <w:spacing w:after="0"/>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from Contracts with Customers</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summarizes net sales from contracts with customers for the three and nine months ended September 30, 2025 and 2024:</w:t>
      </w: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4280" w:type="dxa"/>
            <w:vAlign w:val="bottom"/>
          </w:tcPr>
          <w:p>
            <w:pPr>
              <w:spacing w:after="0"/>
              <w:rPr>
                <w:sz w:val="19"/>
                <w:szCs w:val="19"/>
                <w:color w:val="auto"/>
              </w:rPr>
            </w:pPr>
          </w:p>
        </w:tc>
        <w:tc>
          <w:tcPr>
            <w:tcW w:w="2740" w:type="dxa"/>
            <w:vAlign w:val="bottom"/>
            <w:gridSpan w:val="4"/>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20" w:type="dxa"/>
            <w:vAlign w:val="bottom"/>
            <w:gridSpan w:val="4"/>
          </w:tcPr>
          <w:p>
            <w:pPr>
              <w:jc w:val="right"/>
              <w:ind w:right="87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080" w:type="dxa"/>
            <w:vAlign w:val="bottom"/>
            <w:tcBorders>
              <w:bottom w:val="single" w:sz="8" w:color="auto"/>
            </w:tcBorders>
          </w:tcPr>
          <w:p>
            <w:pPr>
              <w:spacing w:after="0"/>
              <w:rPr>
                <w:sz w:val="19"/>
                <w:szCs w:val="19"/>
                <w:color w:val="auto"/>
              </w:rPr>
            </w:pPr>
          </w:p>
        </w:tc>
      </w:tr>
      <w:tr>
        <w:trPr>
          <w:trHeight w:val="216"/>
        </w:trPr>
        <w:tc>
          <w:tcPr>
            <w:tcW w:w="42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 over time</w:t>
            </w: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70,079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74,122</w:t>
            </w:r>
          </w:p>
        </w:tc>
      </w:tr>
      <w:tr>
        <w:trPr>
          <w:trHeight w:val="223"/>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Product - point in time</w:t>
            </w: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12,789</w:t>
            </w:r>
          </w:p>
        </w:tc>
      </w:tr>
      <w:tr>
        <w:trPr>
          <w:trHeight w:val="241"/>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80,490</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86,911</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marine and land mobile markets, among other factors. Performance in any particular period could be impacted by the timing of sales to certain large customers.</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Company offers a comprehensive family of mobile satellite antenna services and products that provide access to the Internet, television, and VoIP services while on the move. Service sales of airtime service accounted for 83% and 79% of the Company's consolidated net sales for the three months ended September 30, 2025 and 2024, respectively, and 80% of the Company's consolidated net sales for both the nine months ended September 30, 2025 and 2024. The balance of service sales are comprised of distribution of commercially licensed entertainment and news, product repairs, and extended warranty sales. Product sales accounted for 11% and 16% of the Company's consolidated net sales for the three months ended September 30, 2025 and 2024, respectively, and 13% and 15% of the Company's consolidated net sales for the nine months ended September 30, 2025 and 2024, respectively.</w:t>
      </w:r>
    </w:p>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No other single product class accounts for 10% or more of the Company's consolidated net sales.</w:t>
      </w:r>
    </w:p>
    <w:p>
      <w:pPr>
        <w:spacing w:after="0" w:line="250"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77% and 71% of consolidated net sales for the three months ended September 30, 2025 and 2024, respectively, and 78% and 72% of consolidated net sales for the nine months ended September 30, 2025 and 2024, respectively. Sales to Singapore customers represented 21% and 20% of the Company's consolidated net sales for the three months ended September 30, 2025 and 2024, respectively. No other individual foreign country represented 10% or more of the Company's consolidated net sales for the three months ended September 30, 2025 or 2024. Sales to Singapore customers represented 22% and 21% of the Company's consolidated net sales for the nine months ended September 30, 2025 and 2024, respectively. No other individual foreign country represented 10% or more of the Company's consolidated net sales for the nine months ended September 30, 2025 or 2024.</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and Credit Concentrations</w:t>
      </w:r>
    </w:p>
    <w:p>
      <w:pPr>
        <w:spacing w:after="0" w:line="25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Company is potentially subject to financial instrument concentration of credit risk through its cash and cash equivalents. To mitigate these risks, the Company maintains cash and cash equivalents with reputable and nationally recognized financial institutions. As of September 30, 2025, substantially all of the cash and cash equivalents were held by Bank of America, N.A.</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One customer accounted for 12% and 11% of consolidated net sales for the nine months ended September 30, 2025 and 2024, respectively. No other customers accounted for 10% or more of consolidated net sales for the nine months ended September 30, 2025 and 2024. One customer accounted for approximately 18% and 19% of accounts receivable at September 30, 2025 and December 31, 2024, respectively. One customer accounted for 28% and 45% of long-term accounts receivable included in other non-current assets on the consolidated balance sheets related to sales-type leases at September 30, 2025 and December 31, 2024, respectively.</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spacing w:after="0" w:line="188" w:lineRule="exact"/>
        <w:rPr>
          <w:sz w:val="20"/>
          <w:szCs w:val="20"/>
          <w:color w:val="auto"/>
        </w:rPr>
      </w:pPr>
    </w:p>
    <w:p>
      <w:pPr>
        <w:ind w:left="520" w:hanging="515"/>
        <w:spacing w:after="0"/>
        <w:tabs>
          <w:tab w:leader="none" w:pos="5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effective tax rate for the three and nine months ended September 30, 2025 was (0.2)% and (1.9)%, respectively, compared with (4.4)% and (1.9)%, for the corresponding periods in the prior year.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For the three and nine months ended September 30, 2025 and 2024,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spacing w:after="0" w:line="190"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As of September 30, 2025 and December 31, 2024, the Company had reserves for uncertain tax positions of $788 and $724, respectively. There were no material changes during the nine months ended September 30, 2025 to the Company’s reserve for uncertain tax positions. The Company estimates that it is reasonably possible that the balance of unrecognized tax benefits as of September 30, 2025 may decrease $16 in the next twelve months as a result of a lapse of statutes of limitations and settlements with taxing authorities.</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The Company’s tax jurisdictions include the United States, the United Kingdom, Denmark, Cyprus, Norway, Brazil, Singapore, Japan and India. In general, the statute of limitations with respect to the Company's United States federal income taxes has expired for years prior to 2020,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spacing w:after="0" w:line="194"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On July 4, 2025, the One Big Beautiful Bill Act (“OBBBA”) was enacted in the U.S.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Company does not expect the OBBBA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20" w:name="page21"/>
    <w:bookmarkEnd w:id="20"/>
    <w:p>
      <w:pPr>
        <w:ind w:left="520" w:hanging="515"/>
        <w:spacing w:after="0"/>
        <w:tabs>
          <w:tab w:leader="none" w:pos="5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Leases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Lessee</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has operating leases for office facilities, equipment, and satellite service capacity and related equipment. Lease expense was $232 and $376 for the three months ended September 30, 2025 and 2024, respectively, and $738 and $1,095 for the nine months ended September 30, 2025 and 2024, respectively. Short-term operating lease costs were $24 and $20 for the three months ended September 30, 2025 and 2024, respectively, and $70 and $59 for the nine months ended September 30, 2025 and 2024, respectively. Maturities of lease liabilities as of September 30, 2025 under operating leases having an initial or remaining non-cancelable term of one year or more are as follows: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233</w:t>
            </w: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80" w:type="dxa"/>
            <w:vAlign w:val="bottom"/>
          </w:tcPr>
          <w:p>
            <w:pPr>
              <w:spacing w:after="0"/>
              <w:rPr>
                <w:sz w:val="19"/>
                <w:szCs w:val="19"/>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741</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840</w:t>
            </w:r>
          </w:p>
        </w:tc>
      </w:tr>
      <w:tr>
        <w:trPr>
          <w:trHeight w:val="223"/>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2028 and thereafter</w:t>
            </w: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3,695</w:t>
            </w:r>
          </w:p>
        </w:tc>
      </w:tr>
      <w:tr>
        <w:trPr>
          <w:trHeight w:val="216"/>
        </w:trPr>
        <w:tc>
          <w:tcPr>
            <w:tcW w:w="8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5,509</w:t>
            </w:r>
          </w:p>
        </w:tc>
      </w:tr>
      <w:tr>
        <w:trPr>
          <w:trHeight w:val="262"/>
        </w:trPr>
        <w:tc>
          <w:tcPr>
            <w:tcW w:w="89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(901)</w:t>
            </w:r>
          </w:p>
        </w:tc>
      </w:tr>
      <w:tr>
        <w:trPr>
          <w:trHeight w:val="216"/>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Present value of net minimum operating lease payments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4,608</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installments of obligation under current-operating lease liabilities</w:t>
            </w: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591</w:t>
            </w:r>
          </w:p>
        </w:tc>
      </w:tr>
      <w:tr>
        <w:trPr>
          <w:trHeight w:val="216"/>
        </w:trPr>
        <w:tc>
          <w:tcPr>
            <w:tcW w:w="8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Obligations under long-term operating lease liabilities, excluding current installments</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4,017</w:t>
            </w:r>
          </w:p>
        </w:tc>
      </w:tr>
      <w:tr>
        <w:trPr>
          <w:trHeight w:val="20"/>
        </w:trPr>
        <w:tc>
          <w:tcPr>
            <w:tcW w:w="89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8"/>
        </w:trPr>
        <w:tc>
          <w:tcPr>
            <w:tcW w:w="89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3"/>
        </w:trPr>
        <w:tc>
          <w:tcPr>
            <w:tcW w:w="8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 operating leases (years)</w:t>
            </w: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 operating leases</w:t>
            </w: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5.50 %</w:t>
            </w:r>
          </w:p>
        </w:tc>
      </w:tr>
    </w:tbl>
    <w:p>
      <w:pPr>
        <w:spacing w:after="0" w:line="309"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On July 23, 2025, the Company entered into a new lease agreement for approximately 32,000 square feet of office and warehouse space in Bristol, Rhode Island. The Company currently plans to migrate its Rhode Island operations to this leased facility in the spring of 2026, at which point its costs of sales and operational expenditures will include lease expense at the rate of approximately $0.6 million for the first year of the lease (excluding three months of free rent), with fixed annual increases thereafter. The lease agreement is for a term of 87 months with an option to extend the lease an additional 10 years. This lease agreement resulted in a right of use asset and operating lease liabilities of approximately $3,600 as of September 30,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Lessor</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enters into leases with certain customers primarily for the TracPhone and TracNet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spacing w:after="0" w:line="196"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spacing w:after="0" w:line="194"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current portion of the net investment in these leases was $3,056 as of September 30, 2025 and the non-current portion of the net investment in these leases was $2,971 as of September 30, 2025. The current portion of the net investment in the leases is included in accounts receivable, net of allowance for doubtful accounts on the accompanying consolidated balance sheets, and the non-current portion of the net investment in these leases is included in other non-current assets on the accompanying consolidated balance sheets. Interest income from sales-type leases was $90 and $108 during the three months ended September 30, 2025 and 2024, respectively, and $293 and $354 during the nine months ended September 30,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1" w:name="page22"/>
    <w:bookmarkEnd w:id="21"/>
    <w:tbl>
      <w:tblPr>
        <w:tblLayout w:type="fixed"/>
        <w:tblInd w:w="40" w:type="dxa"/>
        <w:tblCellMar>
          <w:top w:w="0" w:type="dxa"/>
          <w:left w:w="0" w:type="dxa"/>
          <w:bottom w:w="0" w:type="dxa"/>
          <w:right w:w="0" w:type="dxa"/>
        </w:tblCellMar>
      </w:tblPr>
      <w:tr>
        <w:trPr>
          <w:trHeight w:val="228"/>
        </w:trPr>
        <w:tc>
          <w:tcPr>
            <w:tcW w:w="8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future undiscounted cash flows from these leases as of September 30, 2025 are:</w:t>
            </w:r>
          </w:p>
        </w:tc>
        <w:tc>
          <w:tcPr>
            <w:tcW w:w="9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
        </w:trPr>
        <w:tc>
          <w:tcPr>
            <w:tcW w:w="89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2025</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r>
      <w:tr>
        <w:trPr>
          <w:trHeight w:val="223"/>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w:t>
            </w: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9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3"/>
        </w:trPr>
        <w:tc>
          <w:tcPr>
            <w:tcW w:w="8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9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16"/>
        </w:trPr>
        <w:tc>
          <w:tcPr>
            <w:tcW w:w="8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undiscounted cash flows</w:t>
            </w: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w:t>
            </w:r>
          </w:p>
        </w:tc>
      </w:tr>
      <w:tr>
        <w:trPr>
          <w:trHeight w:val="262"/>
        </w:trPr>
        <w:tc>
          <w:tcPr>
            <w:tcW w:w="8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23"/>
        </w:trPr>
        <w:tc>
          <w:tcPr>
            <w:tcW w:w="8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lease payments</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r>
      <w:tr>
        <w:trPr>
          <w:trHeight w:val="216"/>
        </w:trPr>
        <w:tc>
          <w:tcPr>
            <w:tcW w:w="8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Difference between undiscounted cash flows and discounted cash flows</w:t>
            </w:r>
          </w:p>
        </w:tc>
        <w:tc>
          <w:tcPr>
            <w:tcW w:w="92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20"/>
        </w:trPr>
        <w:tc>
          <w:tcPr>
            <w:tcW w:w="8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520" w:hanging="515"/>
        <w:spacing w:after="0"/>
        <w:tabs>
          <w:tab w:leader="none" w:pos="5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Restructuring</w:t>
      </w:r>
    </w:p>
    <w:p>
      <w:pPr>
        <w:spacing w:after="0" w:line="239" w:lineRule="exact"/>
        <w:rPr>
          <w:sz w:val="20"/>
          <w:szCs w:val="20"/>
          <w:color w:val="auto"/>
        </w:rPr>
      </w:pPr>
    </w:p>
    <w:p>
      <w:pPr>
        <w:jc w:val="both"/>
        <w:ind w:firstLine="472"/>
        <w:spacing w:after="0" w:line="247" w:lineRule="auto"/>
        <w:rPr>
          <w:sz w:val="20"/>
          <w:szCs w:val="20"/>
          <w:color w:val="auto"/>
        </w:rPr>
      </w:pPr>
      <w:r>
        <w:rPr>
          <w:rFonts w:ascii="Times New Roman" w:cs="Times New Roman" w:eastAsia="Times New Roman" w:hAnsi="Times New Roman"/>
          <w:sz w:val="17"/>
          <w:szCs w:val="17"/>
          <w:color w:val="auto"/>
        </w:rPr>
        <w:t>On February 9, 2024, the Board of Directors of the Company voted to implement a staged wind-down of the Company’s manufacturing activities at its facility in Middletown, Rhode Island.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spacing w:after="0" w:line="21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Company expects that it will continue its product manufacturing activities for a period of time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the Middletown, Rhode Island location until the Company's anticipated relocation in the spring of 2026.</w:t>
      </w:r>
    </w:p>
    <w:p>
      <w:pPr>
        <w:spacing w:after="0" w:line="19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As part of this restructuring, the Company reduced its headcount by approximately 75 employees, or approximately 20% of its total workforce as of the time the Company announced the restructuring. In 2024, the Company incurred aggregate severance charges of approximately $3.9 million, consisting of approximately $3.6 million of cash charges and approximately $0.3 million of non-cash charges arising from pre-existing contractual obligations to accelerate vesting of certain outstanding equity compensation awards. For the aggregate severance charges of approximately $3.9 million, the Company recorded in its consolidated statement of operations $0.9 million in cost of product sales, $1.4 million in research and development, $0.7 million in sales, marketing and support, and $0.8 million in general and administrative. The Company did not incur restructuring charges in the three and nine months ended September 30, 2025 related to the staged wind-down of the Company's manufacturing activities.</w:t>
      </w:r>
    </w:p>
    <w:p>
      <w:pPr>
        <w:spacing w:after="0" w:line="201" w:lineRule="exact"/>
        <w:rPr>
          <w:sz w:val="20"/>
          <w:szCs w:val="20"/>
          <w:color w:val="auto"/>
        </w:rPr>
      </w:pPr>
    </w:p>
    <w:p>
      <w:pPr>
        <w:ind w:left="520" w:hanging="515"/>
        <w:spacing w:after="0"/>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Segment Information</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spacing w:after="0" w:line="19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the nine months ended September 30, 2025 and 2024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9"/>
                <w:szCs w:val="19"/>
                <w:color w:val="auto"/>
              </w:rPr>
            </w:pPr>
          </w:p>
        </w:tc>
        <w:tc>
          <w:tcPr>
            <w:tcW w:w="2060" w:type="dxa"/>
            <w:vAlign w:val="bottom"/>
            <w:gridSpan w:val="4"/>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2060" w:type="dxa"/>
            <w:vAlign w:val="bottom"/>
            <w:gridSpan w:val="4"/>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September 30,</w:t>
            </w:r>
          </w:p>
        </w:tc>
      </w:tr>
      <w:tr>
        <w:trPr>
          <w:trHeight w:val="216"/>
        </w:trPr>
        <w:tc>
          <w:tcPr>
            <w:tcW w:w="65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Sales: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3"/>
        </w:trPr>
        <w:tc>
          <w:tcPr>
            <w:tcW w:w="6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24,410</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70,079</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74,122</w:t>
            </w:r>
          </w:p>
        </w:tc>
      </w:tr>
      <w:tr>
        <w:trPr>
          <w:trHeight w:val="223"/>
        </w:trPr>
        <w:tc>
          <w:tcPr>
            <w:tcW w:w="6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12,789</w:t>
            </w:r>
          </w:p>
        </w:tc>
      </w:tr>
      <w:tr>
        <w:trPr>
          <w:trHeight w:val="216"/>
        </w:trPr>
        <w:tc>
          <w:tcPr>
            <w:tcW w:w="65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86,911</w:t>
            </w:r>
          </w:p>
        </w:tc>
      </w:tr>
      <w:tr>
        <w:trPr>
          <w:trHeight w:val="262"/>
        </w:trPr>
        <w:tc>
          <w:tcPr>
            <w:tcW w:w="65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Cost of service sales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VSAT airtime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39,767</w:t>
            </w: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LEO airtime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3,154</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(1)</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44,496</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product sales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VSAT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LEO</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4,335</w:t>
            </w: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TracVision &amp; land mobile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(2)</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5,485</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14,321</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5,666</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3"/>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(3)</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w:t>
            </w:r>
          </w:p>
        </w:tc>
      </w:tr>
      <w:tr>
        <w:trPr>
          <w:trHeight w:val="216"/>
        </w:trPr>
        <w:tc>
          <w:tcPr>
            <w:tcW w:w="6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Sales, marketing and support</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10,750</w:t>
            </w: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Other (4)</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w:t>
            </w:r>
          </w:p>
        </w:tc>
      </w:tr>
      <w:tr>
        <w:trPr>
          <w:trHeight w:val="216"/>
        </w:trPr>
        <w:tc>
          <w:tcPr>
            <w:tcW w:w="6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15,650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General and administrative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3"/>
        </w:trPr>
        <w:tc>
          <w:tcPr>
            <w:tcW w:w="65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Personnel costs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7,747</w:t>
            </w: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w:t>
            </w:r>
          </w:p>
        </w:tc>
      </w:tr>
      <w:tr>
        <w:trPr>
          <w:trHeight w:val="223"/>
        </w:trPr>
        <w:tc>
          <w:tcPr>
            <w:tcW w:w="65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(5)</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3,541</w:t>
            </w:r>
          </w:p>
        </w:tc>
      </w:tr>
      <w:tr>
        <w:trPr>
          <w:trHeight w:val="216"/>
        </w:trPr>
        <w:tc>
          <w:tcPr>
            <w:tcW w:w="6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13,214</w:t>
            </w:r>
          </w:p>
        </w:tc>
      </w:tr>
      <w:tr>
        <w:trPr>
          <w:trHeight w:val="262"/>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3"/>
        </w:trPr>
        <w:tc>
          <w:tcPr>
            <w:tcW w:w="65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Long-lived asset impairment charge</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1,137</w:t>
            </w:r>
          </w:p>
        </w:tc>
      </w:tr>
      <w:tr>
        <w:trPr>
          <w:trHeight w:val="262"/>
        </w:trPr>
        <w:tc>
          <w:tcPr>
            <w:tcW w:w="6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segment items (6)</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w:t>
            </w:r>
          </w:p>
        </w:tc>
      </w:tr>
      <w:tr>
        <w:trPr>
          <w:trHeight w:val="262"/>
        </w:trPr>
        <w:tc>
          <w:tcPr>
            <w:tcW w:w="65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41"/>
        </w:trPr>
        <w:tc>
          <w:tcPr>
            <w:tcW w:w="6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20" w:hanging="301"/>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Inmarsat, service activations, content service, CommBox Edge and other miscellaneous</w:t>
      </w:r>
    </w:p>
    <w:p>
      <w:pPr>
        <w:spacing w:after="0" w:line="7" w:lineRule="exact"/>
        <w:rPr>
          <w:rFonts w:ascii="Times New Roman" w:cs="Times New Roman" w:eastAsia="Times New Roman" w:hAnsi="Times New Roman"/>
          <w:sz w:val="17"/>
          <w:szCs w:val="17"/>
          <w:color w:val="auto"/>
        </w:rPr>
      </w:pPr>
    </w:p>
    <w:p>
      <w:pPr>
        <w:ind w:left="620" w:hanging="301"/>
        <w:spacing w:after="0" w:line="225"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costs related to CommBox Edge, TracNet Coastal, obsolete inventory write-off and other miscellaneous</w:t>
      </w:r>
    </w:p>
    <w:p>
      <w:pPr>
        <w:ind w:left="620" w:hanging="301"/>
        <w:spacing w:after="0" w:line="225" w:lineRule="auto"/>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facilities and other less significant expenses</w:t>
      </w:r>
    </w:p>
    <w:p>
      <w:pPr>
        <w:ind w:left="620" w:hanging="301"/>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marketing expenses, external commissions, travel and entertainment, facilities expense, warranty expense and other less significant expenses</w:t>
      </w:r>
    </w:p>
    <w:p>
      <w:pPr>
        <w:ind w:left="620" w:hanging="301"/>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the financing fees, facilities expense, computer expenses, depreciation and amortization and other less significant expenses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3" w:name="page24"/>
    <w:bookmarkEnd w:id="23"/>
    <w:p>
      <w:pPr>
        <w:ind w:left="640" w:right="440" w:hanging="321"/>
        <w:spacing w:after="0" w:line="264" w:lineRule="auto"/>
        <w:tabs>
          <w:tab w:leader="none" w:pos="63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items includes interest income; other income (expense), net; and income tax expense (benefit) line items on the face of the income statement</w:t>
      </w:r>
    </w:p>
    <w:p>
      <w:pPr>
        <w:spacing w:after="0" w:line="199"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Regarding the Company's long-lived assets of $26,931, $8,995 of these assets are located inside of the United States. Regarding the assets located outside of the United States, $6,346 are located in Singapore. The geographic location of the Company's AgilePlans revenue-generating assets has been determined based upon the customer shipping address.</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Buyback Program</w:t>
      </w:r>
    </w:p>
    <w:p>
      <w:pPr>
        <w:spacing w:after="0" w:line="25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On December 9, 2024, the Board of Directors of the Company authorized a share repurchase program pursuant to which the Company may purchase outstanding shares of the Company’s common stock for an aggregate purchase price of up to $10 million.</w:t>
      </w:r>
    </w:p>
    <w:p>
      <w:pPr>
        <w:spacing w:after="0" w:line="17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Under the program, the Company, at management’s discretion, may repurchase shares from time to time through various means, including on the open market, in privately negotiated transactions or block transactions, or through an accelerated repurchase agreement. The Company may elect to make purchases under Rule 10b-18 under the Securities Exchange Act of 1934, as amended, which imposes certain volume limitations, and/or under Rule 10b5-1 under that act, which would permit repurchases to occur during periods when the Company might otherwise be precluded from making purchases under insider trading laws or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the Company to repurchase any minimum number or dollar amount of shares, and the program may be modified, suspended or terminated at any time without prior notice.</w:t>
      </w:r>
    </w:p>
    <w:p>
      <w:pPr>
        <w:spacing w:after="0" w:line="205"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2025, the Company repurchased 22 shares of common stock in open market transactions at a cost of approximately $116. During the nine months ended September 30, 2025, the Company repurchased 264 shares of common stock in open market transactions at a cost of approximately $1,372. Except as noted above, there were no other repurchase programs outstanding.</w:t>
      </w:r>
    </w:p>
    <w:p>
      <w:pPr>
        <w:spacing w:after="0" w:line="200" w:lineRule="exact"/>
        <w:rPr>
          <w:sz w:val="20"/>
          <w:szCs w:val="20"/>
          <w:color w:val="auto"/>
        </w:rPr>
      </w:pPr>
    </w:p>
    <w:p>
      <w:pPr>
        <w:spacing w:after="0" w:line="224" w:lineRule="exact"/>
        <w:rPr>
          <w:sz w:val="20"/>
          <w:szCs w:val="20"/>
          <w:color w:val="auto"/>
        </w:rPr>
      </w:pPr>
    </w:p>
    <w:p>
      <w:pPr>
        <w:ind w:left="520" w:hanging="515"/>
        <w:spacing w:after="0"/>
        <w:tabs>
          <w:tab w:leader="none" w:pos="52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52"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On October 8, 2025, the Company acquired certain customer and vendor agreements and other assets from a satellite services provider operating in the Asia-Pacific region for a purchase price consisting of approximately $3.1 million in cash. The Company also paid approximately $0.6 million for certain satellite communications equipment related inventory. The Company expects to record one or more intangible assets with respect to these transactions.</w:t>
      </w:r>
    </w:p>
    <w:p>
      <w:pPr>
        <w:spacing w:after="0" w:line="19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In connection with the acquisition, a subsidiary of the Company made offers of employment to eleven employees of the seller, all of which have been accepted. The Company also entered into transition arrangements with the seller to facilitate the orderly transfer of acquired assets. The transfer of certain agreements requires the consent of the counterparty. The Company expects that, if consent is not obtained, the Company and the seller will fulfill those agreements through subcontracting arrangements, where permitted. The agreements remain terminable in accordance with their terms, and the unanticipated termination of any of the agreements may prevent the Company from realizing some or all of the anticipated benefits of the acquisition.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37" w:right="339" w:bottom="1440" w:gutter="0" w:footer="0" w:header="0"/>
        </w:sectPr>
      </w:pPr>
    </w:p>
    <w:bookmarkStart w:id="24" w:name="page25"/>
    <w:bookmarkEnd w:id="24"/>
    <w:p>
      <w:pPr>
        <w:ind w:right="1400"/>
        <w:spacing w:after="0" w:line="492" w:lineRule="auto"/>
        <w:rPr>
          <w:sz w:val="20"/>
          <w:szCs w:val="20"/>
          <w:color w:val="auto"/>
        </w:rPr>
      </w:pPr>
      <w:r>
        <w:rPr>
          <w:rFonts w:ascii="Times New Roman" w:cs="Times New Roman" w:eastAsia="Times New Roman" w:hAnsi="Times New Roman"/>
          <w:sz w:val="17"/>
          <w:szCs w:val="17"/>
          <w:b w:val="1"/>
          <w:bCs w:val="1"/>
          <w:color w:val="auto"/>
        </w:rPr>
        <w:t xml:space="preserve">ITEM 2. MANAGEMENT’S DISCUSSION AND ANALYSIS OF FINANCIAL CONDITION AND RESULTS OF OPERATIONS </w:t>
      </w:r>
      <w:r>
        <w:rPr>
          <w:rFonts w:ascii="Times New Roman" w:cs="Times New Roman" w:eastAsia="Times New Roman" w:hAnsi="Times New Roman"/>
          <w:sz w:val="17"/>
          <w:szCs w:val="17"/>
          <w:b w:val="1"/>
          <w:bCs w:val="1"/>
          <w:i w:val="1"/>
          <w:iCs w:val="1"/>
          <w:color w:val="auto"/>
        </w:rPr>
        <w:t>Introduction</w:t>
      </w:r>
    </w:p>
    <w:p>
      <w:pPr>
        <w:spacing w:after="0" w:line="11"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i w:val="1"/>
          <w:iCs w:val="1"/>
          <w:color w:val="auto"/>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II of this quarterly report on Form 10-Q.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are a leading global provider of innovative and technology-driven connectivity solutions to primarily maritime commercial, leisure, and military/government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spacing w:after="0" w:line="194"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We generate a substantial majority of our revenues from sales of satellite Internet airtime services. We provide, for monthly fixed fees and per-usage fees, satellite connectivity encompassing broadband Internet, data and VoIP services, to customers via our KVH ONE hybrid network, which integrates global satellite service (including Ku-band VSAT using the Intelsat (acquired by SES in July 2025) HTS network along with Starlink, OneWeb, Iridium, and other satellite services), KVH-provided cellular service in more than 130 countries, and shore-based Wi-Fi access. In March 2023, we began selling Starlink terminals and, in September 2023, we became a Starlink authorized hardware and airtime reseller offering Global Priority data plans for maritime use. In October 2024, we expanded our portfolio to include Starlink Local Priority data plans, which is primarily for stationary and in-motion commercial use on land. In the third quarter of 2025, Starlink products and services were our fastest growing products and services. We are also now earning usage fees from our offering of OneWeb maritime service, which we launched in January 2025. Revenue from our cellular airtime service supplements our satellite-only airtime revenue. In addition, we earn monthly usage fees from sales of third-party satellite connectivity for VoIP and supplemental services to our Inmarsat, Iridium, and Starlink customers. In December 2024, we introduced our TracNet Coastal and TracNet Coastal Pro terminals, expanding our extensive multi-channel portfolio of maritime products and services with a standalone 5G/cellular and Wi-Fi system. We also generate service revenue from product repairs and extended warranty sales.</w:t>
      </w:r>
    </w:p>
    <w:p>
      <w:pPr>
        <w:spacing w:after="0" w:line="200" w:lineRule="exact"/>
        <w:rPr>
          <w:sz w:val="20"/>
          <w:szCs w:val="20"/>
          <w:color w:val="auto"/>
        </w:rPr>
      </w:pPr>
    </w:p>
    <w:p>
      <w:pPr>
        <w:spacing w:after="0" w:line="212" w:lineRule="exact"/>
        <w:rPr>
          <w:sz w:val="20"/>
          <w:szCs w:val="20"/>
          <w:color w:val="auto"/>
        </w:rPr>
      </w:pPr>
    </w:p>
    <w:p>
      <w:pPr>
        <w:jc w:val="both"/>
        <w:ind w:firstLine="472"/>
        <w:spacing w:after="0" w:line="296" w:lineRule="auto"/>
        <w:rPr>
          <w:sz w:val="20"/>
          <w:szCs w:val="20"/>
          <w:color w:val="auto"/>
        </w:rPr>
      </w:pPr>
      <w:r>
        <w:rPr>
          <w:rFonts w:ascii="Times New Roman" w:cs="Times New Roman" w:eastAsia="Times New Roman" w:hAnsi="Times New Roman"/>
          <w:sz w:val="17"/>
          <w:szCs w:val="17"/>
          <w:color w:val="auto"/>
        </w:rPr>
        <w:t>Our service sales also include the distribution of entertainment, including movies, television programming, news and music, to commercial customers in the maritime market through KVH Media Group, along with supplemental value-added services.</w:t>
      </w:r>
    </w:p>
    <w:p>
      <w:pPr>
        <w:spacing w:after="0" w:line="17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Historically, our Ku-band VSAT communications service has been the primary driver of revenue growth. However, these services represent a declining percentage of our revenues in the face of increased demand for and competition from emerging LEO services. Our satellite-only and hybrid products enable marine customers to receive data, VoIP, and value-added services via satellite, cellular, and shore-based Wi-Fi networks onboard commercial, leisure, and military/government vessels. In addition, our in-motion television terminals permit customers to receive live digital television via regional satellite services in marine vessels, recreational vehicles, buses and automobiles. We sell our products through an extensive international network of dealers and distributors. We also sell and lease products to service providers and end users.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5" w:name="page26"/>
    <w:bookmarkEnd w:id="25"/>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In February 2024, we announced a staged wind-down of our product manufacturing operations at our Middletown, Rhode Island location.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into 2026 and that we will cease substantially all manufacturing activity by the end of 2026. This wind-down has been extended from the end of 2025 because the reduced workforce has been prioritizing fulfilling LEO product orders and refurbishing AgilePlans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the Middletown, Rhode Island location until our anticipated relocation in the spring of 2026.</w:t>
      </w:r>
    </w:p>
    <w:p>
      <w:pPr>
        <w:spacing w:after="0" w:line="201"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As part of this restructuring, we reduced our headcount by approximately 75 employees, or approximately 20% of our total workforce as of the time we announced the restructuring. As of June 30, 2024, all employee terminations were completed. During 2024, we incurred $3.9 million of severance charges for this and other restructurings. The $3.9 million of severance charges incurred during the year consisted of approximately $3.6 million of cash charges and approximately $0.3 million of non-cash charges arising from pre-existing contractual obligations to accelerate vesting of certain outstanding equity compensation awards.</w:t>
      </w:r>
    </w:p>
    <w:p>
      <w:pPr>
        <w:spacing w:after="0" w:line="200" w:lineRule="exact"/>
        <w:rPr>
          <w:sz w:val="20"/>
          <w:szCs w:val="20"/>
          <w:color w:val="auto"/>
        </w:rPr>
      </w:pPr>
    </w:p>
    <w:p>
      <w:pPr>
        <w:spacing w:after="0" w:line="210"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During the second quarter of 2024, we expanded our relationship with Starlink through a bulk data distribution agreement. Under the agreement, we prepaid $17.0 million for access to a large block of Starlink Global Priority data at favorable rates. The agreement provides us flexibility in the development and sale of custom airtime plans using Starlink’s Global Priority service. This block of data is expected to be fully consumed by the fourth quarter of 2025. In recognition of the substantial growth of Starlink airtime services as a percentage of our revenue, we anticipate that we will purchase another, substantially larger block of Starlink Global Priority data in the fourth quarter of 2025.</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During the third quarter of 2024, we commenced our plan to sell the warehouse building and surface parking lot located at 75 Enterprise Center in Middletown, Rhode Island (“75 Enterprise Center”). As of September 30, 2024, 75 Enterprise Center had a carrying value of approximately $7.8 million. We determined that all of the criteria to classify 75 Enterprise Center as held for sale had been met as of September 30, 2024. The estimated fair value was determined based upon the anticipated sales price of these assets based on current market conditions and assumptions made by management, less selling costs. We recorded an impairment charge of $1.1 million in 2024, as the carrying value of 75 Enterprise Center at the time the asset for sale criteria were met exceeded the fair value less costs to sell.</w:t>
      </w:r>
    </w:p>
    <w:p>
      <w:pPr>
        <w:spacing w:after="0" w:line="19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In December 2024, we entered into an agreement to sell 75 Enterprise Center for $8.5 million. The sale was completed in September 2025, resulting in a loss of $0.3 million, which is included in other income (expense), net in our consolidated statement of operations for the three and nine months ended September 30, 2025. The sale generated $7.8 million of net cash. In September 2025, we also entered into an agreement with the buyer to lease this property until the end of March 2026 for approximately $0.1 million.</w:t>
      </w:r>
    </w:p>
    <w:p>
      <w:pPr>
        <w:spacing w:after="0" w:line="194"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Additionally, in the third quarter of 2024, we commenced our plan to sell the property, building, improvements, and land located at 50 Enterprise Center in Middletown, Rhode Island (“50 Enterprise Center”). As of September 30, 2024, 50 Enterprise Center had a carrying value of approximately $3.6 million. We determined that all of the criteria to classify 50 Enterprise Center as held for sale had been met as of September 30, 2024. The estimated fair value of 50 Enterprise Center at that date exceeded its carrying value. In December 2024, we entered into an agreement to sell 50 Enterprise Center, subject to the buyer’s right to terminate the agreement during an inspection period. In January 2025, before the end of the inspection period, we received notice of termination from the buyer. In March 2025, we entered into an agreement with another buyer to sell 50 Enterprise Center for $5.3 million. The sale was completed in June 2025, resulting in a gain of $1.3 million, which is included in other income (expense), net in our consolidated statement of operations for the nine months ended September 30, 2025. The sale generated $4.9 million of net cash.</w:t>
      </w:r>
    </w:p>
    <w:p>
      <w:pPr>
        <w:spacing w:after="0" w:line="205"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During the three and nine months ended September 30, 2025, we recorded a $5.5 million inventory write-down related primarily due to further reduced demand for certain of our hardware products as well as a reduction in the prices we charge for certain TracNet H-series terminals. We implemented this price reduction at the end of the third quarter of 2025 and, as a result, reduced the value of our remaining inventory of those products to net realizable value based on lower customer pricing. If demand continues to decline, we may need to record additional inventory write-downs.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2"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2024.</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Critical accounting estimates are those estimates made that involve a significant level of estimation uncertainty and have had or are reasonably likely to have an impact on our statement of operations. We believe that our accounting estimates for intangible assets and other long-lived assets are the only estimates critical to an understanding and evaluation of our financial results for the nine months ended September 30, 2025, as discussed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for the periods indicated, certain financial data relating to our operations expressed as a percentage of net sales: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40" w:type="dxa"/>
            <w:vAlign w:val="bottom"/>
          </w:tcPr>
          <w:p>
            <w:pPr>
              <w:spacing w:after="0"/>
              <w:rPr>
                <w:sz w:val="19"/>
                <w:szCs w:val="19"/>
                <w:color w:val="auto"/>
              </w:rPr>
            </w:pPr>
          </w:p>
        </w:tc>
        <w:tc>
          <w:tcPr>
            <w:tcW w:w="2840" w:type="dxa"/>
            <w:vAlign w:val="bottom"/>
            <w:gridSpan w:val="4"/>
          </w:tcPr>
          <w:p>
            <w:pPr>
              <w:jc w:val="center"/>
              <w:ind w:left="5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2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0"/>
        </w:trPr>
        <w:tc>
          <w:tcPr>
            <w:tcW w:w="41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Borders>
              <w:bottom w:val="single" w:sz="8" w:color="auto"/>
            </w:tcBorders>
            <w:gridSpan w:val="3"/>
          </w:tcPr>
          <w:p>
            <w:pPr>
              <w:jc w:val="center"/>
              <w:ind w:left="10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120" w:type="dxa"/>
            <w:vAlign w:val="bottom"/>
            <w:tcBorders>
              <w:bottom w:val="single" w:sz="8" w:color="auto"/>
            </w:tcBorders>
          </w:tcPr>
          <w:p>
            <w:pPr>
              <w:spacing w:after="0"/>
              <w:rPr>
                <w:sz w:val="19"/>
                <w:szCs w:val="19"/>
                <w:color w:val="auto"/>
              </w:rPr>
            </w:pPr>
          </w:p>
        </w:tc>
      </w:tr>
      <w:tr>
        <w:trPr>
          <w:trHeight w:val="216"/>
        </w:trPr>
        <w:tc>
          <w:tcPr>
            <w:tcW w:w="4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80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03"/>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10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3"/>
        </w:trPr>
        <w:tc>
          <w:tcPr>
            <w:tcW w:w="5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Service</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84.3 %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85.3 %</w:t>
            </w:r>
          </w:p>
        </w:tc>
      </w:tr>
      <w:tr>
        <w:trPr>
          <w:trHeight w:val="223"/>
        </w:trPr>
        <w:tc>
          <w:tcPr>
            <w:tcW w:w="5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Product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14.7</w:t>
            </w:r>
          </w:p>
        </w:tc>
      </w:tr>
      <w:tr>
        <w:trPr>
          <w:trHeight w:val="216"/>
        </w:trPr>
        <w:tc>
          <w:tcPr>
            <w:tcW w:w="414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Net sales</w:t>
            </w:r>
          </w:p>
        </w:tc>
        <w:tc>
          <w:tcPr>
            <w:tcW w:w="10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100.0</w:t>
            </w:r>
          </w:p>
        </w:tc>
      </w:tr>
      <w:tr>
        <w:trPr>
          <w:trHeight w:val="20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and expenses:</w:t>
            </w:r>
          </w:p>
        </w:tc>
        <w:tc>
          <w:tcPr>
            <w:tcW w:w="10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3"/>
        </w:trPr>
        <w:tc>
          <w:tcPr>
            <w:tcW w:w="5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Costs of service sales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51.7</w:t>
            </w:r>
          </w:p>
        </w:tc>
        <w:tc>
          <w:tcPr>
            <w:tcW w:w="100" w:type="dxa"/>
            <w:vAlign w:val="bottom"/>
          </w:tcPr>
          <w:p>
            <w:pPr>
              <w:spacing w:after="0"/>
              <w:rPr>
                <w:sz w:val="19"/>
                <w:szCs w:val="19"/>
                <w:color w:val="auto"/>
              </w:rPr>
            </w:pP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56.1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51.2</w:t>
            </w:r>
          </w:p>
        </w:tc>
      </w:tr>
      <w:tr>
        <w:trPr>
          <w:trHeight w:val="223"/>
        </w:trPr>
        <w:tc>
          <w:tcPr>
            <w:tcW w:w="5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Costs of product sales</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16.5</w:t>
            </w:r>
          </w:p>
        </w:tc>
      </w:tr>
      <w:tr>
        <w:trPr>
          <w:trHeight w:val="223"/>
        </w:trPr>
        <w:tc>
          <w:tcPr>
            <w:tcW w:w="5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7.8</w:t>
            </w:r>
          </w:p>
        </w:tc>
      </w:tr>
      <w:tr>
        <w:trPr>
          <w:trHeight w:val="223"/>
        </w:trPr>
        <w:tc>
          <w:tcPr>
            <w:tcW w:w="5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marketing and support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18.0</w:t>
            </w:r>
          </w:p>
        </w:tc>
      </w:tr>
      <w:tr>
        <w:trPr>
          <w:trHeight w:val="223"/>
        </w:trPr>
        <w:tc>
          <w:tcPr>
            <w:tcW w:w="5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13.0</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tcPr>
          <w:p>
            <w:pPr>
              <w:spacing w:after="0"/>
              <w:rPr>
                <w:sz w:val="19"/>
                <w:szCs w:val="19"/>
                <w:color w:val="auto"/>
              </w:rPr>
            </w:pP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15.2</w:t>
            </w:r>
          </w:p>
        </w:tc>
      </w:tr>
      <w:tr>
        <w:trPr>
          <w:trHeight w:val="223"/>
        </w:trPr>
        <w:tc>
          <w:tcPr>
            <w:tcW w:w="5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Long-lived assets impairment charge</w:t>
            </w:r>
          </w:p>
        </w:tc>
        <w:tc>
          <w:tcPr>
            <w:tcW w:w="1800" w:type="dxa"/>
            <w:vAlign w:val="bottom"/>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9"/>
                <w:szCs w:val="19"/>
                <w:color w:val="auto"/>
              </w:rPr>
            </w:pPr>
          </w:p>
        </w:tc>
        <w:tc>
          <w:tcPr>
            <w:tcW w:w="240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1.3</w:t>
            </w:r>
          </w:p>
        </w:tc>
      </w:tr>
      <w:tr>
        <w:trPr>
          <w:trHeight w:val="216"/>
        </w:trPr>
        <w:tc>
          <w:tcPr>
            <w:tcW w:w="41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Total costs and expenses</w:t>
            </w:r>
          </w:p>
        </w:tc>
        <w:tc>
          <w:tcPr>
            <w:tcW w:w="10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126.9</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106.9</w:t>
            </w:r>
          </w:p>
        </w:tc>
        <w:tc>
          <w:tcPr>
            <w:tcW w:w="100" w:type="dxa"/>
            <w:vAlign w:val="bottom"/>
          </w:tcPr>
          <w:p>
            <w:pPr>
              <w:spacing w:after="0"/>
              <w:rPr>
                <w:sz w:val="18"/>
                <w:szCs w:val="18"/>
                <w:color w:val="auto"/>
              </w:rPr>
            </w:pPr>
          </w:p>
        </w:tc>
        <w:tc>
          <w:tcPr>
            <w:tcW w:w="170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112.8</w:t>
            </w: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110.0</w:t>
            </w:r>
          </w:p>
        </w:tc>
      </w:tr>
      <w:tr>
        <w:trPr>
          <w:trHeight w:val="223"/>
        </w:trPr>
        <w:tc>
          <w:tcPr>
            <w:tcW w:w="5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from operations</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5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Interest income</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2.8</w:t>
            </w:r>
          </w:p>
        </w:tc>
      </w:tr>
      <w:tr>
        <w:trPr>
          <w:trHeight w:val="223"/>
        </w:trPr>
        <w:tc>
          <w:tcPr>
            <w:tcW w:w="5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1800" w:type="dxa"/>
            <w:vAlign w:val="bottom"/>
            <w:gridSpan w:val="3"/>
            <w:shd w:val="clear" w:color="auto" w:fill="CCEEFF"/>
          </w:tcPr>
          <w:p>
            <w:pPr>
              <w:jc w:val="right"/>
              <w:ind w:right="138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0" w:type="dxa"/>
            <w:vAlign w:val="bottom"/>
            <w:gridSpan w:val="3"/>
            <w:shd w:val="clear" w:color="auto" w:fill="CCEEFF"/>
          </w:tcPr>
          <w:p>
            <w:pPr>
              <w:jc w:val="right"/>
              <w:ind w:right="9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5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(0.4)</w:t>
            </w:r>
          </w:p>
        </w:tc>
      </w:tr>
      <w:tr>
        <w:trPr>
          <w:trHeight w:val="216"/>
        </w:trPr>
        <w:tc>
          <w:tcPr>
            <w:tcW w:w="41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Loss before income tax expense</w:t>
            </w:r>
          </w:p>
        </w:tc>
        <w:tc>
          <w:tcPr>
            <w:tcW w:w="10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(7.6)</w:t>
            </w:r>
          </w:p>
        </w:tc>
      </w:tr>
      <w:tr>
        <w:trPr>
          <w:trHeight w:val="223"/>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0.1</w:t>
            </w:r>
          </w:p>
        </w:tc>
      </w:tr>
      <w:tr>
        <w:trPr>
          <w:trHeight w:val="236"/>
        </w:trPr>
        <w:tc>
          <w:tcPr>
            <w:tcW w:w="51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loss</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63"/>
        </w:trPr>
        <w:tc>
          <w:tcPr>
            <w:tcW w:w="4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47"/>
        </w:trPr>
        <w:tc>
          <w:tcPr>
            <w:tcW w:w="4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 2025 and 2024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2"/>
        </w:trPr>
        <w:tc>
          <w:tcPr>
            <w:tcW w:w="61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Our net sales for the three months ended September 30, 2025 and 2024 were as follows: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For the three months ended</w:t>
            </w: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6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vMerge w:val="restart"/>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(dollars in thousands)</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5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5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41"/>
        </w:trPr>
        <w:tc>
          <w:tcPr>
            <w:tcW w:w="61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5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both"/>
        <w:ind w:firstLine="472"/>
        <w:spacing w:after="0" w:line="261" w:lineRule="auto"/>
        <w:rPr>
          <w:sz w:val="20"/>
          <w:szCs w:val="20"/>
          <w:color w:val="auto"/>
        </w:rPr>
      </w:pPr>
      <w:r>
        <w:rPr>
          <w:rFonts w:ascii="Times New Roman" w:cs="Times New Roman" w:eastAsia="Times New Roman" w:hAnsi="Times New Roman"/>
          <w:sz w:val="17"/>
          <w:szCs w:val="17"/>
          <w:color w:val="auto"/>
        </w:rPr>
        <w:t>Net sales decreased by $0.5 million, or 2%, for the three months ended September 30, 2025 as compared to the three months ended September 30, 2024. Service sales increased by $1.0 million, or 4%, to $25.4 million for the three months ended September 30, 2025 from $24.4 million for the three months ended September 30, 2024. The increase in service sales was primarily due to a $0.7 million increase in our airtime service sales, which reflected a substantial increase in LEO service sales driven by an increase in subscribers for both Starlink and OneWeb. This increase in LEO service sales was largely offset by a substantial decrease in VSAT service sales, which was driven primarily by a decrease in VSAT subscribers, as well as a $2.3 million reduction in sales related to the U.S. Coast Guard contract downgrade in the third quarter of 2024. For the three months ended September 30, 2025, LEO services sales represented over 40% of airtime services sales, as compared to less than 15% for the three months ended September 30, 2024. The increase in LEO service sales as a percentage of total airtime sales resulted from both the substantial increase in LEO service sales and the substantial decrease in VSAT service sales. LEO service providers have continued to expand their product and service offerings, further heightening competition in the global leisure segment and in commercial and government markets.</w:t>
      </w:r>
    </w:p>
    <w:p>
      <w:pPr>
        <w:spacing w:after="0" w:line="200" w:lineRule="exact"/>
        <w:rPr>
          <w:sz w:val="20"/>
          <w:szCs w:val="20"/>
          <w:color w:val="auto"/>
        </w:rPr>
      </w:pPr>
    </w:p>
    <w:p>
      <w:pPr>
        <w:spacing w:after="0" w:line="21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Product sales decreased by $1.5 million, or 33%, to $3.1 million for the three months ended September 30, 2025 from $4.6 million for the three months ended September 30, 2024. The decrease in product sales was primarily due to a $0.7 million decrease in Starlink product sales, a $0.6 million decrease in VSAT Broadband product sales and a $0.5 million decrease in TracVision product sales, partially offset by a $0.4 million increase in OneWeb product sales. The decrease in Starlink product sales was primarily due to discounted pricing. Competition from low-cost alternatives to VSAT, which include streaming capabilities, has had a significant impact on sales of our TracVision products.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28"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Costs of sales consists of costs of service sales and costs of product sales. Costs of sales increased by $6.8 million, or 35%, in the three months ended September 30, 2025 to $26.5 million from $19.7 million in the three months ended September 30, 2024. The increase in costs of sales was driven by a $5.1 million increase in costs of product sales and a $1.7 million increase in costs of service sales. As a percentage of net sales, costs of sales were 93% and 68% for the three months ended September 30, 2025 and 2024, respectively.</w:t>
      </w:r>
    </w:p>
    <w:p>
      <w:pPr>
        <w:spacing w:after="0" w:line="181"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September 30, 2025, costs of service sales increased by $1.7 million, or 11%, to $16.7 million from $15.0 million in the three months ended September 30, 2024, primarily due to a $1.5 million increase in airtime costs of service sales. As a percentage of service sales, costs of service sales were 66% and 61% for the three months ended September 30, 2025 and 2024, respectively. The increase in cost of service sales as a percentage of service sales was primarily due to increased rates of Starlink airtime data usage by customers prior to expiration of that data and the purchase during the quarter of VSAT airtime in excess of anticipated usage in order to help meet our contractual minimum purchase obligations for VSAT airtime in 2025.</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8" w:name="page29"/>
    <w:bookmarkEnd w:id="28"/>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Our costs of product sales consist primarily of materials, manufacturing overhead, and direct labor used to produce our products. For the three months ended September 30, 2025, costs of product sales increased by $5.1 million, or 109%, to $9.8 million from $4.7 million in the three months ended September 30, 2024, primarily due to a $6.0 million increase in various manufacturing and other unabsorbed expenses and a $0.4 million increase in OneWeb cost of product sales. The manufacturing and other unabsorbed costs included a $5.5 million inventory writedown related primarily to further reduced demand for certain of our hardware products as well as a reduction in the prices we charge for certain TracNet H-series terminals. These increases were partially offset by a $0.4 million decrease in Starlink cost of product sales, a $0.4 million decrease in TracVision costs of product sales and a $0.3 million decrease in VSAT Broadband cost of product sales. As a percentage of product sales, costs of product sales were 321% and 103% for the three months ended September 30, 2025 and 2024, respectively. Cost of product sales increased as a percentage of product sales primarily due to the increase in various manufacturing and other unabsorbed expenses.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September 30, 2025 decreased by $0.4 million, or 31%, to $1.0 million from $1.4 million for the three months ended September 30, 2024. The decrease in research and development expense resulted primarily from a $0.3 million decrease in salaries, benefits and taxes. As a percentage of net sales, research and development expense was 3% and 5% for the three months ended September 30, 2025 and 2024, respectively.</w:t>
      </w:r>
    </w:p>
    <w:p>
      <w:pPr>
        <w:spacing w:after="0" w:line="196"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September 30, 2025 decreased by less than $0.1 million, or 1%, to $4.9 million for the three months ended September 30, 2024. The decrease in sales, marketing and support expense resulted primarily from a $0.3 million decrease in facilities expense, partially offset by a $0.2 million increase in expensed materials. As a percentage of net sales, sales, marketing and support expense was 17% for both the three months ended September 30, 2025 and 2024.</w:t>
      </w:r>
    </w:p>
    <w:p>
      <w:pPr>
        <w:spacing w:after="0" w:line="200" w:lineRule="exact"/>
        <w:rPr>
          <w:sz w:val="20"/>
          <w:szCs w:val="20"/>
          <w:color w:val="auto"/>
        </w:rPr>
      </w:pPr>
    </w:p>
    <w:p>
      <w:pPr>
        <w:spacing w:after="0" w:line="213"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September 30, 2025 decreased by $0.1 million, or 3%, to $3.7 million from $3.8 million for the three months ended September 30, 2024. The decrease in general and administrative expense resulted primarily from a $0.4 decrease in professional fees and a $0.3 million decrease in dues and subscriptions expense. These decreases were partially offset by a $0.5 million increase in salaries, benefits and taxes. As a percentage of net sales, general and administrative expense was 13% for both the three months ended September 30, 2025 and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22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Interest income represents interest earned on our cash and cash equivalents, as well as from investments and our sale-type lease receivables. Interest income increased by $0.1 million to $0.7 million for the three months ended September 30, 2025 from $0.6 million for the three months ended September 30, 2024, primarily as a result of higher cash balances in 2025. Of the current period interest income of $0.7 million, $0.6 million is attributable to interest earned on cash and cash equivalents, while the remaining $0.1 million was attributable to interest from lease receivables. Other income, net decreased by $0.2 million to other income, net of less than $0.1 million for the three months ended September 30, 2025 from other income, net of $0.2 million for the three months ended September 30, 2024. This decrease was driven primarily by a $0.3 million loss on the sale of 75 Enterprise Center in September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jc w:val="both"/>
        <w:ind w:firstLine="472"/>
        <w:spacing w:after="0" w:line="289" w:lineRule="auto"/>
        <w:rPr>
          <w:sz w:val="20"/>
          <w:szCs w:val="20"/>
          <w:color w:val="auto"/>
        </w:rPr>
      </w:pPr>
      <w:r>
        <w:rPr>
          <w:rFonts w:ascii="Times New Roman" w:cs="Times New Roman" w:eastAsia="Times New Roman" w:hAnsi="Times New Roman"/>
          <w:sz w:val="17"/>
          <w:szCs w:val="17"/>
          <w:color w:val="auto"/>
        </w:rPr>
        <w:t>Income tax expense for the three months ended September 30, 2025 was less than $0.1 million and primarily related to withholding taxes imposed in foreign jurisdictions. Income tax expense for the three months ended September 30, 2024 was $0.1 million and related to taxes on income earned in foreign jurisdictions.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 xml:space="preserve">Nine months ended September 30, 2025 </w:t>
      </w:r>
      <w:r>
        <w:rPr>
          <w:rFonts w:ascii="Times New Roman" w:cs="Times New Roman" w:eastAsia="Times New Roman" w:hAnsi="Times New Roman"/>
          <w:sz w:val="17"/>
          <w:szCs w:val="17"/>
          <w:b w:val="1"/>
          <w:bCs w:val="1"/>
          <w:color w:val="auto"/>
        </w:rPr>
        <w:t>and 2024</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Sales</w:t>
      </w:r>
    </w:p>
    <w:p>
      <w:pPr>
        <w:spacing w:after="0" w:line="2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Our net sales for the nine months ended September 30, 2025 and 2024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2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3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5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vMerge w:val="restart"/>
          </w:tcPr>
          <w:p>
            <w:pPr>
              <w:jc w:val="center"/>
              <w:ind w:left="413"/>
              <w:spacing w:after="0"/>
              <w:rPr>
                <w:sz w:val="20"/>
                <w:szCs w:val="20"/>
                <w:color w:val="auto"/>
              </w:rPr>
            </w:pPr>
            <w:r>
              <w:rPr>
                <w:rFonts w:ascii="Times New Roman" w:cs="Times New Roman" w:eastAsia="Times New Roman" w:hAnsi="Times New Roman"/>
                <w:sz w:val="17"/>
                <w:szCs w:val="17"/>
                <w:b w:val="1"/>
                <w:bCs w:val="1"/>
                <w:color w:val="auto"/>
              </w:rPr>
              <w:t>2025 vs. 2024</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5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5"/>
          </w:tcPr>
          <w:p>
            <w:pPr>
              <w:ind w:left="280"/>
              <w:spacing w:after="0"/>
              <w:rPr>
                <w:sz w:val="20"/>
                <w:szCs w:val="20"/>
                <w:color w:val="auto"/>
              </w:rPr>
            </w:pPr>
            <w:r>
              <w:rPr>
                <w:rFonts w:ascii="Times New Roman" w:cs="Times New Roman" w:eastAsia="Times New Roman" w:hAnsi="Times New Roman"/>
                <w:sz w:val="17"/>
                <w:szCs w:val="17"/>
                <w:b w:val="1"/>
                <w:bCs w:val="1"/>
                <w:color w:val="auto"/>
              </w:rPr>
              <w:t>(dollars in thousands)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(4,043)</w:t>
            </w:r>
          </w:p>
        </w:tc>
        <w:tc>
          <w:tcPr>
            <w:tcW w:w="6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w:t>
            </w:r>
          </w:p>
        </w:tc>
        <w:tc>
          <w:tcPr>
            <w:tcW w:w="6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41"/>
        </w:trPr>
        <w:tc>
          <w:tcPr>
            <w:tcW w:w="57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b w:val="1"/>
                <w:bCs w:val="1"/>
                <w:color w:val="auto"/>
              </w:rPr>
              <w:t>Net sales</w:t>
            </w: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80,490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(6,421)</w:t>
            </w:r>
          </w:p>
        </w:tc>
        <w:tc>
          <w:tcPr>
            <w:tcW w:w="6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Net sales decreased by $6.4 million, or 7%, for the nine months ended September 30, 2025 as compared to the nine months ended September 30, 2024. Service sales decreased by $4.0 million, or 5%, to $70.1 million for the nine months ended September 30, 2025 from $74.1 million for the nine months ended September 30, 2024. The decrease in service sales was primarily due to an overall $4.7 million decrease in our airtime service sales, which reflected a $7.2 million decrease in airtime service sales related to the U.S. Coast Guard contract downgrade. In addition, there was a substantial decrease in other VSAT subscribers, which was partially offset by a substantial increase in LEO service sales. For the nine months ended September 30, 2025, LEO services sales represented over 30% of airtime services sales, as compared to less than 10% for the nine months ended September 30, 2024. The increase in LEO service sales as a percentage of total airtime sales resulted from both a substantial increase in LEO service sales and a substantial decrease in VSAT service sales. LEO service providers have continued to expand their product and service offerings, further heightening competition in the global leisure segment and in commercial and government markets.</w:t>
      </w:r>
    </w:p>
    <w:p>
      <w:pPr>
        <w:spacing w:after="0" w:line="200" w:lineRule="exact"/>
        <w:rPr>
          <w:sz w:val="20"/>
          <w:szCs w:val="20"/>
          <w:color w:val="auto"/>
        </w:rPr>
      </w:pPr>
    </w:p>
    <w:p>
      <w:pPr>
        <w:spacing w:after="0" w:line="215"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Product sales decreased by $2.4 million, or 19%, to $10.4 million for the nine months ended September 30, 2025 from $12.8 million for the nine months ended September 30, 2024. The decrease in product sales was primarily due to a $1.2 million decrease in TracVision product sales, a $1.1 million decrease in Starlink product sales, a $0.4 million decrease in VSAT Broadband product sales and a $0.4 million decrease in accessory and service parts product sales, partially offset by a $0.8 million increase in OneWeb product sales. The decline in Starlink product sales was primarily driven by discounted pricing, whereas declines in other product sales was primarily driven by product mix and discounted pricing on VSAT Broadband products. Competition from low-cost alternatives to VSAT, which include streaming capabilities, has had a significant impact on sales of our TracVision products.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Costs of Sales</w:t>
      </w:r>
    </w:p>
    <w:p>
      <w:pPr>
        <w:spacing w:after="0" w:line="22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Costs of sales increased by $3.2 million, or 5%, in the nine months ended September 30, 2025 to $62.0 million from $58.8 million in the nine months ended September 30, 2024. The increase in costs of sales was driven by a $2.5 million increase in costs of product sales and a $0.6 million increase in costs of service sales. As a percentage of net sales, costs of sales were 77% and 68% for the nine months ended September 30, 2025 and 2024, respectively.</w:t>
      </w:r>
    </w:p>
    <w:p>
      <w:pPr>
        <w:spacing w:after="0" w:line="190" w:lineRule="exact"/>
        <w:rPr>
          <w:sz w:val="20"/>
          <w:szCs w:val="20"/>
          <w:color w:val="auto"/>
        </w:rPr>
      </w:pPr>
    </w:p>
    <w:p>
      <w:pPr>
        <w:jc w:val="both"/>
        <w:ind w:firstLine="472"/>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2025, costs of service sales increased by $0.6 million, or 1%, to $45.1 million from $44.5 million for the nine months ended September 30, 2024, primarily due to a $0.5 million increase in content services cost of services sales and a $0.4 million increase in airtime cost of service sales. As a percentage of service sales, costs of service sales were 64% and 60% for the nine months ended September 30, 2025 and 2024, respectively.</w:t>
      </w:r>
    </w:p>
    <w:p>
      <w:pPr>
        <w:spacing w:after="0" w:line="200" w:lineRule="exact"/>
        <w:rPr>
          <w:sz w:val="20"/>
          <w:szCs w:val="20"/>
          <w:color w:val="auto"/>
        </w:rPr>
      </w:pPr>
    </w:p>
    <w:p>
      <w:pPr>
        <w:spacing w:after="0" w:line="205"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For the nine months ended September 30, 2025, costs of product sales increased by $2.5 million, or 18%, to $16.9 million from $14.3 million in the nine months ended September 30, 2024, primarily due to a $4.0 million increase in various manufacturing and other unabsorbed expenses and a $0.7 million increase in OneWeb cost of product sales, partially offset by a $0.9 million decrease in Starlink cost of product sales and a $0.9 million decrease in TracVision cost of product sales. The manufacturing and other unabsorbed costs included a $5.5 million inventory writedown related primarily to further reduced demand for certain of our hardware products as well as a reduction in the prices we charge for certain TracNet H-series terminals. As a percentage of product sales, costs of product sales were 162% and 112% for the nine months ended September 30, 2025 and 2024, respectively. Cost of product sales increase as a percentage of product sales primarily due to the increase in various manufacturing and other unabsorbed expenses.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28"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Research and development expense for the nine months ended September 30, 2025 decreased by $3.7 million, or 55%, to $3.1 million from $6.8 million for the nine months ended September 30, 2024. The decrease in research and development expense resulted primarily from a $3.1 million decrease in salaries, benefits and taxes, after giving effect to $0.9 million in costs incurred during the nine months ended September 30, 2024 related to the reduction in our workforce, and a $0.3 million decrease in facilities expense allocated to our research and development operations. As a percentage of net sales, research and development expense was 4% and 8% for the nine months ended September 30, 2025 and 2024, respectively.</w:t>
      </w:r>
    </w:p>
    <w:p>
      <w:pPr>
        <w:spacing w:after="0" w:line="196"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Sales, marketing and support expense for the nine months ended September 30, 2025 decreased by $0.8 million, or 5%, to $14.9 million from $15.7 million for the nine months ended September 30, 2024. The decrease in sales, marketing and support expense resulted primarily from a $0.6 million decrease in salaries, benefits and taxes, after giving effect to $0.3 million in costs incurred during the nine months ended September 30, 2024 related to the reduction in our workforce. In addition, there was a $0.6 million decrease in facilities expense allocated to our sales, marketing and support operations, partially offset by a $0.3 million increase in warranty expense and a $0.3 million increase in professional fees. As a percentage of net sales, sales, marketing and support expense was 19% and 18% for the nine months ended September 30, 2025 and 2024, respectively.</w:t>
      </w:r>
    </w:p>
    <w:p>
      <w:pPr>
        <w:spacing w:after="0" w:line="198"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 for the nine months ended September 30, 2025 decreased by $2.4 million, or 18%, to $10.8 million from $13.2 million for the nine months ended September 30, 2024. The decrease in general and administrative expense resulted primarily from a $1.6 million decrease in salaries, benefits and taxes, after giving effect to $0.7 million in costs incurred during the nine months ended September 30, 2024 related to the reduction in our workforce, a $0.6 million decrease in depreciation expense, a $0.4 million decrease in professional fees and a $0.3 million decrease in dues and subscriptions expense, partially offset by a $0.7 million increase in facilities expense allocated to our general and administrative operations. As a percentage of net sales, general and administrative expense was 13% and 15% for the nine months ended September 30, 2025 and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(Expense), Net</w:t>
      </w:r>
    </w:p>
    <w:p>
      <w:pPr>
        <w:spacing w:after="0" w:line="228"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Interest income decreased by $0.6 million to $1.8 million for the nine months ended September 30, 2025 from $2.4 million for the nine months ended September 30, 2024, primarily as a result of lower cash balances in 2025 as a result of the $17.0 million prepayment in June 2024 for access to a large block of Starlink Mobile Priority data at favorable rates. Of the current period interest income of $1.8 million, $1.5 million is attributable to interest earned on cash and cash equivalents, and $0.3 million was attributable to interest from lease receivables. Other income (expense), net changed by $1.2 million to other income, net of $0.8 million for the nine months ended September 30, 2025 from other expense, net of $0.3 million for the nine months ended September 30, 2024. This change was driven primarily by a $1.3 million gain on the sale of 50 Enterprise Center in June 2025, partially offset by a $0.3 million loss on the sale of 75 Enterprise Center in September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25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Income tax expense for the nine months ended September 30, 2025 was $0.1 million and primarily related to state taxes and withholding taxes imposed in foreign jurisdictions. Income tax expense for the nine months ended September 30, 2024 was $0.1 million and related to taxes on income earned in foreign jurisdictions.</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39" w:lineRule="exact"/>
        <w:rPr>
          <w:sz w:val="20"/>
          <w:szCs w:val="20"/>
          <w:color w:val="auto"/>
        </w:rPr>
      </w:pPr>
    </w:p>
    <w:p>
      <w:pPr>
        <w:jc w:val="both"/>
        <w:ind w:firstLine="472"/>
        <w:spacing w:after="0" w:line="260" w:lineRule="auto"/>
        <w:rPr>
          <w:sz w:val="20"/>
          <w:szCs w:val="20"/>
          <w:color w:val="auto"/>
        </w:rPr>
      </w:pPr>
      <w:r>
        <w:rPr>
          <w:rFonts w:ascii="Times New Roman" w:cs="Times New Roman" w:eastAsia="Times New Roman" w:hAnsi="Times New Roman"/>
          <w:sz w:val="17"/>
          <w:szCs w:val="17"/>
          <w:color w:val="auto"/>
        </w:rPr>
        <w:t>Our primary liquidity needs have been to fund general business requirements, including working capital requirements and capital expenditures. In recent years, we have funded our operations primarily from the sale of two businesses in 2022, the sale of 50 Enterprise Center, the sale of 75 Enterprise Center, cash flows from operations and proceeds received from exercises of stock options and the issuance of stock.</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On August 9, 2022, we sold our inertial navigation business to EMCORE Corporation for net proceeds of $54.9 million, less specified deductions.</w:t>
      </w:r>
    </w:p>
    <w:p>
      <w:pPr>
        <w:spacing w:after="0" w:line="250"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As of September 30, 2025, we had $72.8 million in cash and cash equivalents, of which $3.4 million was held in local currencies by our foreign subsidiaries. We held no marketable securities as of September 30, 2025 as all excess cash has been invested in an interest-bearing account with Bank of America, N.A. since the fourth quarter of 2024. As of September 30, 2025, we had $104.5 million in working capital.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224155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1" w:name="page32"/>
    <w:bookmarkEnd w:id="31"/>
    <w:p>
      <w:pPr>
        <w:jc w:val="both"/>
        <w:ind w:firstLine="472"/>
        <w:spacing w:after="0" w:line="262" w:lineRule="auto"/>
        <w:rPr>
          <w:sz w:val="20"/>
          <w:szCs w:val="20"/>
          <w:color w:val="auto"/>
        </w:rPr>
      </w:pPr>
      <w:r>
        <w:rPr>
          <w:rFonts w:ascii="Times New Roman" w:cs="Times New Roman" w:eastAsia="Times New Roman" w:hAnsi="Times New Roman"/>
          <w:sz w:val="17"/>
          <w:szCs w:val="17"/>
          <w:color w:val="auto"/>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In recognition of the substantial growth of Starlink airtime services as a percentage of our revenue since the second quarter of 2024, we anticipate that, in the fourth quarter of 2025, we will purchase a substantial block of Starlink Global Priority data and will make an upfront payment of a material portion of the purchase price, with periodic payments continuing over the course of the contract period.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spacing w:after="0" w:line="201" w:lineRule="exact"/>
        <w:rPr>
          <w:sz w:val="20"/>
          <w:szCs w:val="20"/>
          <w:color w:val="auto"/>
        </w:rPr>
      </w:pPr>
    </w:p>
    <w:p>
      <w:pPr>
        <w:jc w:val="both"/>
        <w:ind w:firstLine="472"/>
        <w:spacing w:after="0" w:line="263" w:lineRule="auto"/>
        <w:rPr>
          <w:sz w:val="20"/>
          <w:szCs w:val="20"/>
          <w:color w:val="auto"/>
        </w:rPr>
      </w:pPr>
      <w:r>
        <w:rPr>
          <w:rFonts w:ascii="Times New Roman" w:cs="Times New Roman" w:eastAsia="Times New Roman" w:hAnsi="Times New Roman"/>
          <w:sz w:val="17"/>
          <w:szCs w:val="17"/>
          <w:color w:val="auto"/>
        </w:rPr>
        <w:t>Net cash generated in operations was $13.7 million for the nine months ended September 30, 2025 compared to net cash used in operations of $13.6 million for the nine months ended September 30, 2024. The $27.3 million change in net cash provided by operations was primarily the result of a $23.0 million decrease in cash outflows related to prepaid expenses and current assets, which included the $17.0 million purchase of the Starlink data pool in 2024, a $15.7 million decrease in cash outflows relating to inventories, a $5.7 million decrease in cash outflows relating to accrued compensation, product warranty and other expenses, and a $0.5 million increase in cash inflows relating to deferred revenue, partially offset by a $7.0 million reduction in non-cash items, a $5.7 million increase in cash outflows related to accounts payable, a $3.6 million decrease in cash inflows relating to accounts receivable, a $1.0 million increase in net loss, and a $0.4 million decrease in cash inflows relating to other non-current assets.</w:t>
      </w:r>
    </w:p>
    <w:p>
      <w:pPr>
        <w:spacing w:after="0" w:line="203" w:lineRule="exact"/>
        <w:rPr>
          <w:sz w:val="20"/>
          <w:szCs w:val="20"/>
          <w:color w:val="auto"/>
        </w:rPr>
      </w:pPr>
    </w:p>
    <w:p>
      <w:pPr>
        <w:jc w:val="both"/>
        <w:ind w:firstLine="472"/>
        <w:spacing w:after="0" w:line="267" w:lineRule="auto"/>
        <w:rPr>
          <w:sz w:val="20"/>
          <w:szCs w:val="20"/>
          <w:color w:val="auto"/>
        </w:rPr>
      </w:pPr>
      <w:r>
        <w:rPr>
          <w:rFonts w:ascii="Times New Roman" w:cs="Times New Roman" w:eastAsia="Times New Roman" w:hAnsi="Times New Roman"/>
          <w:sz w:val="17"/>
          <w:szCs w:val="17"/>
          <w:color w:val="auto"/>
        </w:rPr>
        <w:t>Net cash provided by investing activities was $9.8 million for the nine months ended September 30, 2025 compared to net cash provided by investing activities of $16.5 million for the nine months ended September 30, 2024. The $6.7 million decrease in net cash provided by investing activities was primarily the result of a $23.1 million decrease in proceeds from net sales of marketable securities, which was driven by the liquidation of our marketable securities held by Wells Fargo in 2024, partially offset by proceeds of $7.8 million for the sale of 75 Enterprise Center, proceeds of $4.9 million for the sale of 50 Enterprise Center, a $2.0 million increase of proceeds from the sale of fixed assets and a $1.6 million decrease in capital expenditures.</w:t>
      </w:r>
    </w:p>
    <w:p>
      <w:pPr>
        <w:spacing w:after="0" w:line="196"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Net cash used in financing activities was $1.3 million for the nine months ended September 30, 2025 compared to net cash provided by financing activities of $0.1 million for the nine months ended September 30, 2024. The $1.4 million increase in net cash used in financing activities is primarily attributable to a $1.4 million increase in cash outflows related to the purchase of treasury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Matters</w:t>
      </w:r>
    </w:p>
    <w:p>
      <w:pPr>
        <w:spacing w:after="0" w:line="241"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in which we may purchase outstanding shares of our common stock for an aggregate purchase price of up to $10 million.</w:t>
      </w:r>
    </w:p>
    <w:p>
      <w:pPr>
        <w:spacing w:after="0" w:line="160" w:lineRule="exact"/>
        <w:rPr>
          <w:sz w:val="20"/>
          <w:szCs w:val="20"/>
          <w:color w:val="auto"/>
        </w:rPr>
      </w:pPr>
    </w:p>
    <w:p>
      <w:pPr>
        <w:jc w:val="both"/>
        <w:ind w:firstLine="472"/>
        <w:spacing w:after="0" w:line="246" w:lineRule="auto"/>
        <w:rPr>
          <w:sz w:val="20"/>
          <w:szCs w:val="20"/>
          <w:color w:val="auto"/>
        </w:rPr>
      </w:pPr>
      <w:r>
        <w:rPr>
          <w:rFonts w:ascii="Times New Roman" w:cs="Times New Roman" w:eastAsia="Times New Roman" w:hAnsi="Times New Roman"/>
          <w:sz w:val="17"/>
          <w:szCs w:val="17"/>
          <w:color w:val="auto"/>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or the Exchange Act,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200" w:lineRule="exact"/>
        <w:rPr>
          <w:sz w:val="20"/>
          <w:szCs w:val="20"/>
          <w:color w:val="auto"/>
        </w:rPr>
      </w:pPr>
    </w:p>
    <w:p>
      <w:pPr>
        <w:spacing w:after="0" w:line="218"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2025, we repurchased 22 shares of common stock in open market transactions at a cost of approximately $0.1 million. During the nine months ended September 30, 2025, we repurchased 264 shares of common stock in open market transactions at a cost of approximately $1.4 million. Except as noted above, there were no other repurchase programs outstanding.</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2" w:name="page33"/>
    <w:bookmarkEnd w:id="32"/>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9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the effectiveness of our disclosure controls and procedures as of September 30, 2025, the end of the period covered by this interim report. Based on that evaluation, our Chief Executive Officer and Chief Financial Officer concluded that our disclosure controls and procedures were effective as of September 30,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Changes in Internal Control over Financial Reporting</w:t>
      </w:r>
    </w:p>
    <w:p>
      <w:pPr>
        <w:spacing w:after="0" w:line="252" w:lineRule="exact"/>
        <w:rPr>
          <w:sz w:val="20"/>
          <w:szCs w:val="20"/>
          <w:color w:val="auto"/>
        </w:rPr>
      </w:pPr>
    </w:p>
    <w:p>
      <w:pPr>
        <w:jc w:val="both"/>
        <w:ind w:firstLine="472"/>
        <w:spacing w:after="0" w:line="270"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our management has evaluated changes in our internal control over financial reporting that occurred during the third quarter of 2025. Based on that evaluation, our Chief Executive Officer and Chief Financial Officer did not identify any change in our internal control over financial reporting during the third quarter of 2025 that has materially affected, or is reasonably likely to materially affect, our internal control over financial reporting.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Important Considerations</w:t>
      </w:r>
    </w:p>
    <w:p>
      <w:pPr>
        <w:spacing w:after="0" w:line="252" w:lineRule="exact"/>
        <w:rPr>
          <w:sz w:val="20"/>
          <w:szCs w:val="20"/>
          <w:color w:val="auto"/>
        </w:rPr>
      </w:pPr>
    </w:p>
    <w:p>
      <w:pPr>
        <w:jc w:val="both"/>
        <w:ind w:firstLine="472"/>
        <w:spacing w:after="0" w:line="265" w:lineRule="auto"/>
        <w:rPr>
          <w:sz w:val="20"/>
          <w:szCs w:val="20"/>
          <w:color w:val="auto"/>
        </w:rPr>
      </w:pPr>
      <w:r>
        <w:rPr>
          <w:rFonts w:ascii="Times New Roman" w:cs="Times New Roman" w:eastAsia="Times New Roman" w:hAnsi="Times New Roman"/>
          <w:sz w:val="17"/>
          <w:szCs w:val="17"/>
          <w:color w:val="auto"/>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5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71" w:lineRule="exact"/>
        <w:rPr>
          <w:sz w:val="20"/>
          <w:szCs w:val="20"/>
          <w:color w:val="auto"/>
        </w:rPr>
      </w:pPr>
    </w:p>
    <w:p>
      <w:pPr>
        <w:jc w:val="both"/>
        <w:ind w:firstLine="472"/>
        <w:spacing w:after="0" w:line="278"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following risk factors in evaluating our business. If any of these risks, or other risks not presently known to us or that we currently believe are not significant, develops into an actual event, then our business, financial condition and results of operations could be adversely affected. If that happens, the market price of our common stock could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financial performance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have a history of losses, and achieving sustained profitability may take longer than we anticipate or may not be achievable.</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recorded losses in the first nine months of 2025 and in each of the last five fiscal years (notwithstanding the income we recognized in 2025 from the sale of 50 Enterprise Center and 75 Enterprise Center, in 2022 from the sale of the inertial navigation business and in 2021 from the forgiveness of a PPP loan). We may continue to incur losses as we face increasingly stiff competition. Our recent restructuring, workforce reductions and other cost-reduction measures may be insufficient to offset reductions in our revenues. Recent inflation in the prices of goods and services, including wages, has also hampered our ability to improve profitability. In order to maintain and improve our competitive position, generate revenue and achieve sustained profitability, we must continue to grow our airtime subscriber base, reduce our bandwidth and other costs, and continue to introduce new and improved solutions. Our inability to accomplish any of these goals could have a material adverse effect on our revenues, profitability and cash flow, and we cannot provide assurances as to when, or whether, we will achieve sustained profitability.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losses may continue to increase substantially if we are unable to effectively adapt to changes in our business and industry.</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traditional geosynchronous satellite communications industry is experiencing significant disruption arising from customers’ rapid transition to less expensive LEO services, including Starlink, as well as increased reliance on other forms of data transmission, including Wi-Fi and cellular data services. Like others in our industry, we are experiencing significantly reduced demand for our traditional satellite communications services and products, which we expect will continue to accelerate. Although we are adapting to this transition by becoming an authorized reseller of Starlink, OneWeb, and cellular data services and related products, there can be no assurance that we will generate the same level of revenue or gross margin from these sources that we derived from sales of VSAT airtime and related products. Moreover, our VSAT services require a separate infrastructure, which generates certain costs that are relatively fixed for a period of time, including certain minimum annual purchase obligations for VSAT airtime services through 2027. As customers transition away from VSAT services, our remaining VSAT services become less profitable and may eventually become insufficiently profitable to continue, especially considering our fixed commitments. If we are unable to efficiently operate both VSAT and LEO services and cost-effectively manage the ongoing transition to the latter, the expenses we incur may exceed associated revenues and thereby increase our losses.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color w:val="auto"/>
        </w:rPr>
        <w:t>Fluctuations in our quarterly net sales and results of operations could depress the market price of our common stock.</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quarterly net sales and results of operations could continue to vary significantly for various reasons, many of which are outside our control. For example, service sales declined 4.0% in the third quarter of 2025 compared to the third quarter of 2024, and product sales decreased 32.8% in the third quarter of 2025 compared to the third quarter of 2024. You should not rely on quarter-to-quarter comparisons of our results of operations as an indication of future performance. Our net sales or results of operations in a quarter may fall below the expectations of securities analysts or investors. If this occurs, the market price of our common stock could fall significantly. Our results of operations can fluctuate for many reasons, including the impact of competition and resulting changes in demand for our products and services; the impact of tariffs on goods and services we purchase; delays in order fulfillment, including as a result of shortages of components and raw materials; the mix of services and products we sell, including the mix of fixed rate and metered contracts for airtime services; our ability to manufacture, test and deliver products in a timely and cost-effective manner; the timing of new service and product introductions by us or our competitors; the scope and success of our investments in research and development; expenses incurred in pursuing acquisitions and investments; expenses incurred in expanding, maintaining, or improving our global HTS network; market and competitive pricing pressures; unanticipated charges or expenses, such as the aggregate $6.0 million impairment charges to goodwill and long-lived assets we recorded in the third quarter of 2023; the $5.5 million charge related to an inventory write-down in the third quarter of 2025; the $5.2 million charge related to an inventory write-down in the fourth quarter of 2023; the $3.6 million provision for excess purchase order obligations; the $2.1 million charge for the discontinuation of a project for implementing a new manufacturing-centric accounting system that we recorded in the fourth quarter of 2023 and the $1.1 million impairment charges to long-lived assets we recorded in the third quarter of 2024; expenses incurred in responding to stockholder activism; general economic climate; seasonality of pleasure boat and recreational vehicle usage; and the impact of supply chain disruptions.</w:t>
      </w:r>
    </w:p>
    <w:p>
      <w:pPr>
        <w:spacing w:after="0" w:line="200" w:lineRule="exact"/>
        <w:rPr>
          <w:sz w:val="20"/>
          <w:szCs w:val="20"/>
          <w:color w:val="auto"/>
        </w:rPr>
      </w:pP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large portion of our expenses, including expenses for network infrastructure, facilities, equipment, and personnel, are relatively fixed. For example, our agreements to purchase VSAT airtime contain certain minimum fixed annual expenditure requirements through the end of 2027, and as of September 30, 2025 our bandwidth consumption was not projected to exceed those minimums for 2025. Accordingly, these contract minimums may require us to purchase VSAT airtime in excess of our customers’ anticipated usage. If our net sales continue to decline, our operating margins will also likely decline. Any failure to achieve anticipated net sales could therefore significantly harm our operating results.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material increase in sales of third-party airtime services and products could reduce our gross margins and our profitability.</w:t>
      </w:r>
    </w:p>
    <w:p>
      <w:pPr>
        <w:spacing w:after="0" w:line="25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gross margin percentage from our VSAT airtime services in some cases exceeds the gross margin percentage from other third-party products and airtime services. To the extent that the mix of airtime services we sell continues to shift away from VSAT services, our gross profit dollars may continue to decline materially, if we are unable to significantly increase revenue on non-VSAT airtime services, which will reduce our profitability.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planned transition to reliance on third-party hardware products may be unsuccessful.</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February 2024, we announced a staged wind-down of our product manufacturing operations, which was driven by reduced demand for our hardware products in the face of intensifying competition. We plan to discontinue our capital-intensive manufacturing activities by the end of 2026 and concentrate instead on growing sales of our multi-orbit, multi-channel, integrated communications solutions, including a transition to rely increasingly, and eventually exclusively, on third-party hardware compatible with our solutions. This multi-year strategy entails significant risks, including the loss of competitive differentiation as a leading manufacturer of award-winning products, the potentially irreversible loss of manufacturing expertise and know-how, increased dependence on third-party manufacturers and suppliers, the loss of control over technological innovations and improvements, significantly lower profit margins on third-party product resales, potential technological incompatibility with third-party hardware, potential additional significant provisions for excess and obsolete inventory and other charges (such as our $5.5 million charge related to an inventory write-down in the third quarter of 2025), unanticipated expenses, and increased competition for service customers from product manufacturers. If we were to experience an unexpected resurgence in demand for our products, we may be unable to restart internal production or to engage a third party to reliably manufacture and deliver them on time and at an affordable cost. Accordingly, this strategic transition entails meaningful execution risk, particularly in light of our reductions-in-force in 2024 and the resulting loss of experienced employees. The failure to implement a successful transition to a new business model based upon third-party hardware would have a material adverse effect on our business, revenues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Our future success will depend in part on the services of our executive officers and key employees.</w:t>
      </w:r>
    </w:p>
    <w:p>
      <w:pPr>
        <w:spacing w:after="0" w:line="2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Company's future success depends to a significant degree on the skills and efforts of our executive officers and key employees. Most of our executive officers and key employees are at-will employees. Competition for senior management is intense, and they could terminate their employment with us at any time. We do not maintain key-person life insurance on any of our personnel. Accordingly, the loss of one or more of our executive officers or key employees could have a material adverse effect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If we cannot effectively manage changes in our business and continue to attract and retain skilled personnel, our business may suffer.</w:t>
      </w:r>
    </w:p>
    <w:p>
      <w:pPr>
        <w:spacing w:after="0" w:line="25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If we cannot adjust expenses in response to changes in our operations, our results of operations may be harmed. For example, the relatively fixed costs associated with our manufacturing operations sometimes prevent us from reducing those costs quickly in response to reductions in demand, resulting in negative product margins. To manage changes in our business effectively, we must, among other things, successfully complete the wind-down of our manufacturing operations, including correctly estimating the number of units to produce; secure appropriate satellite capacity to match demand for airtime services; manage our inventory effectively, particularly in light of the substantial provision for excess and obsolete inventory that we recorded in the third quarter of 2025 and the fourth quarter of 2023; effectively manage our working capital; ensure robust cybersecurity protection of KVH and customer data and systems; and ensure that our procedures and internal controls are revised and updated to remain effective for our smaller workforce and the reduced size and scale of our business operations. We currently plan to relocate our operations to a new facility in early 2026. There can be no assurance that the relocation will not materially disrupt our operations and adversely affect our business, financial condition and results of operations.</w:t>
      </w:r>
    </w:p>
    <w:p>
      <w:pPr>
        <w:spacing w:after="0" w:line="20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are highly dependent on qualified personnel at all levels, including our senior management team and other key technical, operational, managerial and sales and marketing personnel, each of whom would be difficult to replace. Our reductions-in-force in 2024 increased our dependence on continuing personnel. If we fail to retain and attract the necessary personnel, we may be unable to achieve our business objectives and may lose our competitive position, which could lead to a significant decline in net sales. The current job market for personnel is very competitive, resulting in increased compensation. We face challenges retaining our personnel and attracting new personnel to fulfill our unmet needs, particularly in light of our recent reductions-in-force. Replacing key personnel may be difficult and may take an extended period of time because of the limited number of individuals with the skills and experience to execute our business strategy. We may be unable to identify or employ qualified personnel for any such position on acceptable terms, if at all. We may also need to pay higher compensation than we expect, which would make it more difficult to achieve our goal of sustained profitability.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Future strategic activities could disrupt our business and affect our results of operations.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response to increasing competitive pressure, we may take additional measures intended to increase profitability and align our business more closely with our current strategic and financial objectives, including engagement with new suppliers, further modifications to our manufacturing arrangements and other cost-reduction efforts. For example, in February 2024 we announced a staged wind-down of our manufacturing operations and a related reduction-in-force of 75 employees, as a result of which we have incurred aggregate charges of approximately $14.8 million, consisting of a $5.2 million non-cash charge related to an inventory write-down in 2023, a $3.6 million provision for excess purchase order obligations, approximately $3.9 million of severance charges, and a $2.1 million charge for the discontinuation of a project for implementing a new manufacturing-centric accounting system. We may also choose to dispose of assets or make strategic divestitures, such as the sale of our inertial navigation business in August 2022. In the third quarter of 2025, we completed the sale of the warehouse building and surface parking lot located at 75 Enterprise Center in Middletown, Rhode Island. In the second quarter of 2025, we completed the sale of the property, building, improvements, and land located at 50 Enterprise Center in Middletown, Rhode Island. These efforts may not succeed in improving profitability. Any changes such as these could be disruptive to our business and could result in significant expense, including losses on any asset disposition or divestiture (such as the $0.3 million loss on the sale of 75 Enterprise Center), accounting charges for any inventory or technology-related write-offs or any workforce reduction costs, such as those described elsewhere in risk factors. We could incur significant transaction costs, including for potential transactions that do not proceed. Substantial expense or charges resulting from restructuring activities, dispositions of assets or divestitures could adversely affect our results of operations and use of cash in the periods in which we take these actions. Any disposition of assets or divestiture could also result in the retention of liabilities and expenses that are not assumed by the buyer or the loss of operating income from the divested assets or operations, either of which could negatively impact profitability after any divestiture.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color w:val="auto"/>
        </w:rPr>
        <w:t>We must generate a certain level of service sales in order to maintain or improve our service gross margins.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As a result of our global satellite network infrastructure, we incur certain costs that generally do not vary directly in proportion to the volume of service sales, and we have limited ability to reduce these fixed costs. If service sales, including through our AgilePlans subscription model, continue to decline, our service gross margins will also continue to decline, particularly if the contractual minimum expenditure requirements of our VSAT airtime supply agreements, referred to above, continue to require us to make payments in excess of our needs. The failure to improve our global HTS service gross margins and unit sales would have a material adverse effect on our overall profitability.</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second quarter of 2024, we prepaid $17.0 million for access to a large block of Starlink Mobile Priority data at favorable rates. If the volume of services sales is not significant enough to consume this pooled data within the applicable period, our gross margins will suffer. While we currently expect to consume all of this pooled data within the contract period, if at any time we were to determine that it is more likely than not that we would not consume a portion of the pooled data, we may expense the applicable portion at the time of each such determination. Although we intend to seek to purchase another large block of data at favorable rates in the fourth quarter of 2025, there can be no assurance that our efforts will be successful or that we can make such purchase at the same or better rates. A failure to purchase bulk data at favorable rates may result in increased costs, lower profit margins and increased volatility in airtime expenses.</w:t>
      </w:r>
    </w:p>
    <w:p>
      <w:pPr>
        <w:spacing w:after="0" w:line="200" w:lineRule="exact"/>
        <w:rPr>
          <w:sz w:val="20"/>
          <w:szCs w:val="20"/>
          <w:color w:val="auto"/>
        </w:rPr>
      </w:pPr>
    </w:p>
    <w:p>
      <w:pPr>
        <w:spacing w:after="0" w:line="21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7"/>
          <w:szCs w:val="17"/>
          <w:b w:val="1"/>
          <w:bCs w:val="1"/>
          <w:color w:val="auto"/>
        </w:rPr>
        <w:t>Our ability to compete in the maritime airtime services market will be impaired if we are unable to provide sufficient service capacity to meet customer demand.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currently offer our global HTS VSAT service and LEO services in the Americas, Europe, the Middle East, Africa, Asia-Pacific, Indian, and Australian and New Zealand waters, as permitted by local regulatory authorities and licensing. We may need to maintain or expand capacity in existing coverage areas to support our subscriber base. If we are unable to reach economical agreements with third-party satellite providers to support our global satellite services and its technology or if transponder capacity is unavailable to meet growing demand in a given region, our ability to provide airtime services will be at risk and could reduce the attractiveness of our products and services.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results of operations are adversely affected by unseasonably cold weather, prolonged winter conditions, disasters or similar events.</w:t>
      </w:r>
    </w:p>
    <w:p>
      <w:pPr>
        <w:spacing w:after="0" w:line="2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leisure marine business is highly seasonal, and seasonality can also impact our commercial marine business. Historically, we have generated the majority of our leisure marine product revenues during the first and second quarters of each year, and these revenues typically decline in the third and fourth quarters of each year, compared to the first two quarters. Temporary suspensions of our airtime services typically increase in the fourth and first quarters of each year as boats are placed out of service during winter months. Our leisure marine business is also significantly affected by the weather. Unseasonably cool weather, prolonged winter conditions, hurricanes, unusual amounts of rain, and natural and other disasters may decrease boating, which could reduce our revenues. Specifically, we may encounter a decrease in new airtime activations as well as an increase in the number of cancellations or temporary suspensions of our airtime service.</w:t>
      </w:r>
    </w:p>
    <w:p>
      <w:pPr>
        <w:spacing w:after="0" w:line="200" w:lineRule="exact"/>
        <w:rPr>
          <w:sz w:val="20"/>
          <w:szCs w:val="20"/>
          <w:color w:val="auto"/>
        </w:rPr>
      </w:pPr>
    </w:p>
    <w:p>
      <w:pPr>
        <w:spacing w:after="0" w:line="21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are winding down our single manufacturing facility, and any significant disruption to this facility in the near term will impair our ability to deliver our products.</w:t>
      </w:r>
    </w:p>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manufacture all of our products at our manufacturing facility in Middletown, Rhode Island, and we have begun to wind down our manufacturing operations at that facility. We currently plan to discontinue the majority of our capital-intensive manufacturing activities by the end of 2026. Some of our production processes are complex, and we may be unable to respond rapidly to the loss of the use of our production facility. For example, we use some specialized equipment that may take time to replace if it is damaged or becomes unusable for any reason. In that event, shipments would be delayed, which could result in customer or dealer dissatisfaction, loss of sales and damage to our reputation. In light of the wind-down, we may elect to halt production rather than to incur significant expenses to repair or replace manufacturing equipment, which may limit our production and accelerate the loss of product sales.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Acquisitions and strategic relationships may disrupt our operations or adversely affect our results.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evaluate opportunities to acquire other businesses and assets and pursue other strategic relationships as they arise. For example, in October 2025, we acquired certain customer and vendor agreements and other assets from a satellite services provider operating in the Asia-Pacific region for a purchase price of approximately $3.1 million. The expenses we incur evaluating and pursuing acquisitions and strategic relationships could have a material adverse effect on our results of operations. If we acquire a business, we may be unable to manage it profitably or successfully integrate its operations with our own. Moreover, we may be unable to realize the strategic, financial, operational and other benefits we anticipate, and any acquisition or strategic relationship may increase our operating expenses. Further, our approach to acquisitions and strategic relationships may involve a number of special financial and business risks, such as entry into new and unfamiliar lines of business or markets, which may present challenges or risks that we did not anticipate; entry into new or unfamiliar geographic regions, including exposure to additional tax and regulatory regimes; increased expenses associated with the amortization of acquired intangible assets; increased exposure to fluctuations in foreign currency exchange rates; charges related to any abandoned acquisition; diversion of our management’s time, attention, and resources; loss of key personnel; loss or termination of acquired contracts; increased reliance on third parties; increased costs to improve or coordinate managerial, operational, financial, and administrative systems, including internal control over financial reporting; dilutive issuances of equity securities; the assumption of legal liabilities; and losses arising from impairment charges associated with goodwill or intangible assets. In the case of our October 2025 acquisition, we expect to record one or more intangible assets, and unanticipated early terminations and/or non-renewals of a material portion of the acquired agreements could result in the recognition of impairment charges that would adversely affect our results of operations, perhaps materially.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industry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Increasingly intense competition may limit our ability to sell our products and services.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mobile connectivity market is intensely competitive, and we expect the intensity of competition to continue to increase in the future. We may not be able to compete successfully against current and future competitors, which would impair our ability to sell our products and services. We are facing significant competition from companies that seek to compete primarily on price as well as new, emerging LEO services, such as Starlink and OneWeb, as well as future LEO services such as Kuiper, Telesat, and others. Competition from these sources increased dramatically in 2023 and 2024 and continues in 2025, leading to material and ongoing reductions in our VSAT subscriber base. These companies may continue to implement price reductions and discounts for both products and services, which have required us to reduce our prices or offer discounts in an effort to mitigate erosion of our market share. The majority of our customers have no long-term commitment and can switch providers without penalty. For example, AgilePlans customers are on month-to-month agreements. In the third quarter of 2024, we received and processed the anticipated service downgrade request from the U.S. Coast Guard, which reduces anticipated revenue from this customer for 2025 through 2027 by approximately 95%. As a result, we expect to generate substantially less revenue from the U.S. Coast Guard. For example, revenue from the U.S. Coast Guard declined from approximately $2.4 million in the third quarter of 2024 to approximately $0.1 million in the third quarter of 2025.</w:t>
      </w:r>
    </w:p>
    <w:p>
      <w:pPr>
        <w:spacing w:after="0" w:line="200" w:lineRule="exact"/>
        <w:rPr>
          <w:sz w:val="20"/>
          <w:szCs w:val="20"/>
          <w:color w:val="auto"/>
        </w:rPr>
      </w:pPr>
    </w:p>
    <w:p>
      <w:pPr>
        <w:spacing w:after="0" w:line="21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Many competitors have greater financial resources than we do, enabling them to operate at lower margins to gain market share. We believe increased competition contributed to the decreases in both our service sales and our product sales in the nine months ended September 30, 2025, including unit sales of our VSAT products, and this trend may continue in future periods.</w:t>
      </w:r>
    </w:p>
    <w:p>
      <w:pPr>
        <w:spacing w:after="0" w:line="19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Some of the companies that we depend on to supply us with capacity on satellite communications networks may vertically integrate by introducing their own products and services to compete with ours, which might motivate them to stop providing satellite network capacity to us, or to make it available on less favorable terms.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KVH is a Tier 1 reseller of Starlink terminals and services, we continue to face competitive challenges both from Starlink direct sales as well as from an expanding network of other Starlink resellers. A significant number of leisure customers have adopted Starlink systems for both two-way communications as well as streaming, which has impacted both our VSAT Broadband and TracVision satellite TV businesses. Although our leisure business accounts for less than 15% of our total revenue, competition from Starlink from various sources has had an adverse impact on our commercial business as well, particularly our growth in that segment and our overall VSAT subscriber base. While we did increase our subscriber count in the first, second and third quarters of 2025 and the second, third and fourth quarters of 2024, spurred by an increase in subscribers for Starlink service provided by KVH, the total number of our subscribers declined in the third and fourth quarter of 2023 and the first quarter of 2024. If we are unable to sustain growth, it would have a material adverse effect on our revenue, profitability, and cash flow.</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marine market for high-speed Internet, voice, and data services, we have historically competed primarily with Marlink,</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38" w:name="page39"/>
    <w:bookmarkEnd w:id="38"/>
    <w:p>
      <w:pPr>
        <w:jc w:val="both"/>
        <w:spacing w:after="0" w:line="263" w:lineRule="auto"/>
        <w:rPr>
          <w:sz w:val="20"/>
          <w:szCs w:val="20"/>
          <w:color w:val="auto"/>
        </w:rPr>
      </w:pPr>
      <w:r>
        <w:rPr>
          <w:rFonts w:ascii="Times New Roman" w:cs="Times New Roman" w:eastAsia="Times New Roman" w:hAnsi="Times New Roman"/>
          <w:sz w:val="17"/>
          <w:szCs w:val="17"/>
          <w:color w:val="auto"/>
        </w:rPr>
        <w:t>Speedcast, Viasat/Inmarsat, and Network Innovations, along with smaller, single-hub regional services to deliver VSAT service. Additionally, we are facing meaningful competition from new LEO-focused providers such as SpaceX’s Starlink and an emerging group of smaller providers, such as Clarus, Pivotel, Elcome and Station Satcom. We also face competition from providers of low-speed data services, which include Viasat/Inmarsat and Iridium Satellite LLC. In the marine market for satellite TV equipment, we compete primarily with Intellian, Cobham satcom and Raymarine (Intellian-made). In the marine market for two-way communications equipment, we compete primarily with Intellian and Cobham satcom. In the markets for media content, the KVH Media Group competes primarily with Swank Motion Pictures, Baze Technology, and PressReader. Some of our competitors are well-established companies that have substantially greater financial, managerial, technical, marketing, personnel, and other resources than we do, which may help them to compete more effectively against us.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depend on sole or limited source suppliers, and any disruption in supply could impair our ability to deliver products on time or at expected cost.</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obtain many products and key components for our products, including Starlink terminals, from third-party suppliers, and in some cases we use a single or a limited number of suppliers. Any interruption in supply could impair our ability to deliver the products we sell until we identify and qualify a new source of supply, which could take several weeks, months or longer and could increase our costs significantly. For example, the global chip shortage and supply chain constraints resulting from the COVID-19 pandemic adversely impacted our ability to deliver products in a timely manner and increased our cost of sales due to rising prices for materials. We may not be able to pass along any of these cost increases to our customers, and customers may not wait for products to become available. These disruptions in our supply chain could worsen, which could delay delivery of products and services and adversely affect our revenue and results of operations. Suppliers might change or discontinue products or key components, which could require us to modify our product designs or cease production or sales. In general, we do not have written long-term supply agreements with our suppliers but instead buy products and components through purchase orders, which expose us to potential price increases and termination of supply without notice or recourse. We generally do not carry significant inventories of products or components, which could magnify the impact of the loss of a supplier. If we must use a new source of supply, we could face unexpected manufacturing difficulties and loss of product performance or reliability. In addition, lead times for certain products or components can increase significantly due to imbalances in overall market supply and demand. This, in turn, could limit our ability to satisfy demand for the products we sell and could result in the cancellation of customer orders.</w:t>
      </w:r>
    </w:p>
    <w:p>
      <w:pPr>
        <w:spacing w:after="0" w:line="200" w:lineRule="exact"/>
        <w:rPr>
          <w:sz w:val="20"/>
          <w:szCs w:val="20"/>
          <w:color w:val="auto"/>
        </w:rPr>
      </w:pPr>
    </w:p>
    <w:p>
      <w:pPr>
        <w:spacing w:after="0" w:line="21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Changes in the competitive environment, customer demand, supply chain issues, and the transition to new products may require inventory write-downs and/or the disposal of AgilePlans revenue-generating fixed assets.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we have recorded significant inventory charges and/or inventory write-offs as a result of substantial declines in customer demand. For example, in the third quarter of 2025, we recorded a $5.5 million inventory write-down charge due to further reduction in demand for certain of our hardware products as well as a reduction in the prices we charge for certain TracNet H-series terminals. In 2023, we recorded a $5.2 million inventory write-down charge and a $3.6 million charge for excess purchase order obligations, both relating to the reduced demand for our hardware products, which led to the staged wind-down of our manufacturing activities at our facility in Middletown, Rhode Island that we began in 2024. We have also recorded significant losses on the disposal of AgilePlans revenue-generating fixed assets due to the decline in customer demand of VSAT Broadband AgilePlans units. For example, in 2024 we recorded a non-cash $0.9 million loss related to the disposal of AgilePlans revenue-generating fixed assets in which no proceeds were received. Market or competitive changes, such as a continuation of the decline in demand for our hardware products that we have been experiencing in 2023, 2024 and 2025, could lead to additional charges for excess or obsolete inventory or losses on fixed assets, especially if we are unable to appropriately adjust the supply of material from our vendors, as we were unable to do in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our dependence on third parties and third-party technology</w:t>
      </w:r>
    </w:p>
    <w:p>
      <w:pPr>
        <w:spacing w:after="0" w:line="2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mobile satellite communications solutions currently depend on third-party satellite services, gateway teleports and terrestrial networks provided by third parties, and a disruption in those services could adversely affect sales.</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communications solutions utilize third-party satellite services and other communication networks. We do not own the satellites that provide two-way satellite communications, the terrestrial networks that interconnect our facilities with the satellite teleports that communicate with the satellites, or any other communication network. Intelsat (acquired by SES in July 2025) and SKY Perfect JSAT currently provide the satellite capacity to support our global high-throughput satellite (HTS) broadband service, our TracNet H-series and TracPhone V-HTS series products and third-party products compatible with our services. Vodafone currently provides the 5G/LTE services used by our TracNet H-series terminals and compatible third-party products to provide cellular service in 150+ countries. For our TracNet Coastal products launched in December 2024, we purchase 5G/LTE cellular data from T-Mobile for service in the U.S. and Vodaphone for service globally. Additionally, we purchase cellular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39" w:name="page40"/>
    <w:bookmarkEnd w:id="39"/>
    <w:p>
      <w:pPr>
        <w:jc w:val="both"/>
        <w:spacing w:after="0" w:line="267" w:lineRule="auto"/>
        <w:rPr>
          <w:sz w:val="20"/>
          <w:szCs w:val="20"/>
          <w:color w:val="auto"/>
        </w:rPr>
      </w:pPr>
      <w:r>
        <w:rPr>
          <w:rFonts w:ascii="Times New Roman" w:cs="Times New Roman" w:eastAsia="Times New Roman" w:hAnsi="Times New Roman"/>
          <w:sz w:val="17"/>
          <w:szCs w:val="17"/>
          <w:color w:val="auto"/>
        </w:rPr>
        <w:t>data from Flexiroam, a Mobile Virtual Network Operator (MVNO) with connectivity in over 200 countries. Starlink provides the data services for Starlink LEO services, while Eutelsat OneWeb and SES provide the data connectivity for OneWeb LEO services, which we began providing for maritime use in the January 2025. We rely on Viasat/Inmarsat for satellite communications services for our FleetBroadband-compatible and FleetOne-compatible products. We also have an arrangement with Iridium for additional satellite communications services that we make available to our customers as a backup option to provide communications redundancy with our primary service offerings.</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addition, we have agreements with various teleports and Internet service providers around the globe to support our global HTS broadband service. The terrestrial fiber links that we use to connect with the Internet and to move our VoIP and data services between our facilities and the various satellite earth stations that support our services are provided to us through numerous service providers, some of which have contractual relationships with our satellite service providers and not directly with us.</w:t>
      </w:r>
    </w:p>
    <w:p>
      <w:pPr>
        <w:spacing w:after="0" w:line="19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currently offer satellite television solutions compatible with the DIRECTV and DISH Network services in the United States, the Bell TV service in Canada, the Sky Mexico service in Mexico, the Sky UK service in the United Kingdom, Canal+ service in France and Movistar service in Spain, and other regional satellite TV services in other parts of the world.</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exercise little or no control over these third-party providers of satellite, teleport, and terrestrial network services, which increases our vulnerability to problems with the services and coverage they provide. Due to our reliance on these service providers, when problems occur, it may be difficult to identify the source of the problem. Service disruption or outages, regardless of whether they are caused by our service, the equipment or services of our third-party service providers, or our customers’ or their equipment and systems, may result in loss of market acceptance of our service, and any necessary repairs or other remedial actions may cause us to incur significant costs and expenses. Any failure on the part of third-party service providers to achieve or maintain expected performance levels, stability, security, or adequate data service coverage in key regions could harm our relationships with our customers, result in claims for credits or damages, damage our reputation, significantly reduce customer demand for our solution and seriously harm our financial condition and operating results.</w:t>
      </w:r>
    </w:p>
    <w:p>
      <w:pPr>
        <w:spacing w:after="0" w:line="200" w:lineRule="exact"/>
        <w:rPr>
          <w:sz w:val="20"/>
          <w:szCs w:val="20"/>
          <w:color w:val="auto"/>
        </w:rPr>
      </w:pPr>
    </w:p>
    <w:p>
      <w:pPr>
        <w:spacing w:after="0" w:line="21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If customers become dissatisfied with the pricing, service, availability, programming or other aspects of any of these satellite services, or if any one or more of these services becomes unavailable for any reason, we could suffer a substantial decline in sales of the satellite services or products we offer. There may be no alternative satellite service provider available to us in a particular geographic area, and the modem or other technology our customers use may not be compatible with the technology of any alternative service provider that may be available. Even if available, delays caused by switching our systems to another service provider, if available, and qualifying this new service provider could materially harm our customer relationships, business, financial condition, and operating results. In addition, the unexpected failure of a satellite could disrupt the availability of programming and services, which could reduce the demand for, or customer satisfaction with, the services or products we offer.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depend on cloud-based data services operated by third parties, and any disruption in the operation of these services could harm our business.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Some of our content services and business records are hosted by various cloud-based data services operated by third parties. Any failure or downtime in one of these services could affect a significant percentage of our customers. Although we control and have access to our servers and the components of our network that are located in our internal facilities and certain of our external data facilities, we do not control the operation of external facilities. The providers of our data management services have no obligation to renew their agreements with us on commercially reasonable terms, or at all. If we are unable to renew these agreements on commercially reasonable terms, or if one or more of our data management service providers is acquired, closes, suffers financial difficulty or is unable to meet our growing capacity needs, we may be required to transfer our data to other services, and we may incur significant costs and service interruptions in connection with doing so, which could harm our reputation with our customers and adversely affect our revenues and results of operations.</w:t>
      </w:r>
    </w:p>
    <w:p>
      <w:pPr>
        <w:spacing w:after="0" w:line="20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media and entertainment business relies on licensing arrangements with content providers, and the loss of, or changes in, those arrangements could adversely affect our business.</w:t>
      </w:r>
    </w:p>
    <w:p>
      <w:pPr>
        <w:spacing w:after="0" w:line="1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distribute premium movies, television programming, news, and music to commercial customers in the maritime market. We license this content from third parties on a non-exclusive basis without long-term license agreements. Any content provider could terminate our arrangements without notice or could adversely modify the terms of the arrangement, including price increases. Further, the licenses we obtain are limited in scope, and any violation of the terms of a license could expose us to liability for copyright infringement. We pay license fees based in part on the revenue we generate from sublicenses, and our licensors generally have the right to audit our records. Failure to pay required license fees could result in termination of our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0" w:name="page41"/>
    <w:bookmarkEnd w:id="40"/>
    <w:p>
      <w:pPr>
        <w:jc w:val="both"/>
        <w:spacing w:after="0" w:line="296" w:lineRule="auto"/>
        <w:rPr>
          <w:sz w:val="20"/>
          <w:szCs w:val="20"/>
          <w:color w:val="auto"/>
        </w:rPr>
      </w:pPr>
      <w:r>
        <w:rPr>
          <w:rFonts w:ascii="Times New Roman" w:cs="Times New Roman" w:eastAsia="Times New Roman" w:hAnsi="Times New Roman"/>
          <w:sz w:val="17"/>
          <w:szCs w:val="17"/>
          <w:color w:val="auto"/>
        </w:rPr>
        <w:t>license rights, penalties and damages. The loss of content could adversely affect the attractiveness of our media and entertainment offerings, which could in turn adversely affect our revenues. Any increase in the cost of content could reduce the profitability of these offerings.</w:t>
      </w:r>
    </w:p>
    <w:p>
      <w:pPr>
        <w:spacing w:after="0" w:line="17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Cybersecurity breaches could disrupt our operations, expose us to liability, damage our reputation, and require us to incur significant costs or otherwise adversely affect our financial results.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are highly dependent on information technology networks and systems, including the Internet and third-party systems, to securely process, transmit and store electronic information, including personal information of our customers. We also retain sensitive data, including intellectual property, proprietary business information, personally identifiable information, credit card information, and usage data of our employees and customers on our computer networks and those of third parties. Although we take certain protective measures and endeavor to modify them as we believe circumstances warrant, invasive technologies and techniques continue to evolve rapidly, and increasingly sophisticated hacking organizations are targeting business systems. As a result, the computer systems, software and networks that we use are vulnerable to disruption, shutdown, unauthorized access, misuse, erasure, alteration, employee error, phishing, computer viruses, ransomware or other malicious code, and other events that could have a material security impact. The protective measures on which we rely may be inadequate to prevent or detect all material cybersecurity breaches or determine the extent of any material breach, and there can be no assurance that material undetected breaches have not already occurred. If any material cybersecurity event were to occur, it could disrupt our operations, distract our management, cause us to lose existing customers and fail to attract new customers, as well as subject us to regulatory actions, litigation, fines, damage to our reputation or competitive position, or orders or decrees requiring us to modify our business practices, any of which could have a material adverse effect on our financial position, results of operations or cash flows.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economic conditions and trade relations</w:t>
      </w:r>
    </w:p>
    <w:p>
      <w:pPr>
        <w:spacing w:after="0" w:line="2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revenues, results of operations and financial condition may be adversely impacted by economic turmoil, war, political instability, declines in consumer and enterprise spending.</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Economic and political conditions in the geographic markets we serve have experienced significant turmoil over the last several years, including the current shutdown of the U.S. government, U.S. military strikes on seafaring vessels, U.S. military operations in international waters, recent and ongoing changes in U.S. geopolitical priorities, a potential global recession, slow economic activity, war and refugee crises in the Middle East and Europe, tight credit markets, inflation and deflation concerns, changing interest rates, low consumer confidence, limited capital spending, adverse business conditions, terrorist attacks, changes in government priorities, trade wars, anti-globalization movements, efforts to combat climate change, restrictions on commercial fishing, gridlock from a polarized Congress, and liquidity concerns. These factors vary in intensity by region. For example, the war in the Middle East has resulted in periodic disruptions to global shipping, which could intensify and result in significant delays in shipments of products or supplies, materially increased shipping costs and loss of revenues. Further, recent tax reform legislation is predicted to substantially increase borrowing by the federal government, which could lead to both increased interest rates and increased inflation. We cannot predict the timing, duration, or ultimate impact of turmoil on our markets or our suppliers. We expect our business would be adversely impacted by any significant turmoil, to varying degrees and for varying amounts of time, in all our geographic markets.</w:t>
      </w:r>
    </w:p>
    <w:p>
      <w:pPr>
        <w:spacing w:after="0" w:line="20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Changes in U.S. trade policy, including the ongoing threat and imposition of significant tariffs and resulting changes in international trade relations, may have a material adverse effect on us.</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new presidential administration has introduced dramatic changes to the United States’ approach to international trade, which is disrupting existing bilateral and multi-lateral trade agreements and treaties with other countries. The U.S. has imposed, suspended, reinstated, reduced, increased or otherwise modified significant tariffs on a wide range of foreign goods and may continue to do so. Certain foreign governments have retaliated and may continue to do so. We derive a majority of our revenues from international sales, which makes us especially vulnerable to increased tariffs. Unpredictable and shifting priorities in U.S. trade policy are generating significant turmoil in international trade relations, and it is unclear what actions governments will or will not take with respect to tariffs or other international trade agreements and policies. For example, President Trump previously imposed tariffs ranging from 10% to 145% on an array of imports from Canada, Mexico, China and other countries. Many of those tariffs remain in place, often with modifications. In response, these countries have imposed or are considering imposing retaliatory tariffs on U.S. exports and other restrictions on trade with the U.S. It is unclear what further action the presidential administration will take with respect to tariffs, but future tariff rates may be substantially higher than historical averages. Ongoing or new trade wars or other governmental action related to tariffs or international trade agreements or policies could substantially reduce demand for our services and products, increase our costs, materially reduce our profitability, adversely impact our supply chain or otherwise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color w:val="auto"/>
        </w:rPr>
        <w:t>Changes in foreign currency exchange rates may negatively affect our financial condition and results of operations.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face significant exposure to movements in exchange rates for foreign currencies, particularly the pound sterling and the euro. When the U.S. dollar strengthens against certain foreign currencies, this adversely affects revenues reported in U.S. dollars and decreases the reported value of our assets in foreign countries. Conversely, when the U.S. dollar weakens against certain foreign currencies, this positively affects revenues reported in U.S. dollars and increases the reported value of our assets in foreign countries. In the nine months ended September 30, 2025, the U.S. dollar weakened significantly against the euro and certain other currencies, which increased the value of revenues generated in those currencies and the costs we pay in those currencies. We also have intragroup receivables and liabilities, such as loans, that can generate significant foreign currency effects. Changes in exchange rates, particularly the U.S. dollar against the pound sterling, could lead to the recognition of unrealized foreign exchange losses.</w:t>
      </w:r>
    </w:p>
    <w:p>
      <w:pPr>
        <w:spacing w:after="0" w:line="20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Certain of our products and services are sold internationally in U.S. dollars; if the U.S. dollar strengthens, the relative cost of these products and services to customers located in foreign countries would increase, which could adversely affect export sales. In addition, most of our financial obligations must be satisfied in U.S. dollars. Our exposures to changes in foreign currency exchange rates may change over time as our business practices evolve and could result in increased costs or reduced revenue and could adversely affect our cash flow. Changes in the relative values of currencies occur regularly and may have a significant impact on our operating results. We cannot predict with any certainty changes in foreign currency exchange rates or the degree to which we can cost-effectively mitigate this exposure.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intellectual property and technological innovation</w:t>
      </w:r>
    </w:p>
    <w:p>
      <w:pPr>
        <w:spacing w:after="0" w:line="252"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Our research and development efforts may be unsuccessful. If we are unable to improve our existing solutions and develop new, innovative solutions, our sales and market share will likely continue to decline.</w:t>
      </w:r>
    </w:p>
    <w:p>
      <w:pPr>
        <w:spacing w:after="0" w:line="1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market for mobile connectivity solutions is characterized by rapid technological change, frequent new product innovations, changes in customer requirements and expectations, and evolving industry standards. For example, our traditional VSAT service business is facing significant competition from new LEO networks such as Starlink and Eutelsat OneWeb. In addition, the barrier to entry to the sale of services like Starlink is relatively low for other providers. If we fail to make innovations in our existing services and products, reduce the costs of our services and products, or successfully integrate ancillary or third-party services and products into our portfolio to differentiate our service offerings, our market share will likely continue to decline. Services or products using these or other new technologies, or emerging industry standards, could render our services and products obsolete. If our competitors’ new or enhanced services or products either outperform our services or products or offer greater value, or are perceived as doing so, our sales may continue to decline.</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is inherently complex and uncertain, and our current and anticipated research and development projects may not achieve the results we seek. The financial resources that we devote to our research and development efforts have been decreasing significantly. Our efforts may not result in any viable service or product offerings or may result in service or product offerings whose performance, features, price or availability may not be attractive to customers or that we cannot sell profitably.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may suffer if we cannot protect our proprietary technology.</w:t>
      </w:r>
    </w:p>
    <w:p>
      <w:pPr>
        <w:spacing w:after="0" w:line="23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Our ability to compete depends in part upon our patents, copyrights, source code, and other proprietary technology. The steps we have taken to protect our technology may be inadequate to prevent others from using what we regard as our technology to compete with us. Our patents will eventually expire and could be challenged, invalidated or circumvented. Customers or others with access to our proprietary or licensed media content could copy that content without permission or otherwise violate the terms of our customer agreements, which would adversely affect our revenues and could impair our relationships with content providers. In addition, the laws of some foreign countries do not protect our proprietary technology to the same extent as the laws of the United States, which could increase the likelihood of misappropriation. Any misappropriation of our technology could seriously harm our competitive position, which could lead to a substantial reduction in net sales. If we resort to legal proceedings to enforce our intellectual property rights, the proceedings could be burdensome, disruptive and expensive. The proceedings could distract the attention of management, and we may not prevail.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Claims by others that we infringe their intellectual property rights could harm our business and financial condition.</w:t>
      </w:r>
    </w:p>
    <w:p>
      <w:pPr>
        <w:spacing w:after="0" w:line="2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Our industry is characterized by the existence of a large number of patents and frequent claims and related litigation regarding patent and other intellectual property rights. We cannot be certain that our products and services do not and will not infringe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issued patents, patents that may be issued in the future, or other intellectual property rights of others.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government regulation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international operations complicate our business and require us to comply with multiple regulatory environments.</w:t>
      </w:r>
    </w:p>
    <w:p>
      <w:pPr>
        <w:spacing w:after="0" w:line="25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Historically, sales to customers outside the United States have accounted for an increasingly significant portion of our net sales. We derived 78%, 73% and 68% of our revenues in the nine months ended September 30, 2025 and the years ended December 31, 2024 and 2023, respectively, from sales to these foreign customers. We have foreign offices in Denmark, the United Kingdom, Singapore, Japan, Norway and the Philippines, as well as a subsidiary in Brazil that manages local sales. Nonetheless, substantially all of our operations and a significant number of our key personnel are located in the United States. Our limited international operations may impair our ability to compete successfully in international markets and to meet the service and support needs of our customers in countries where we have little to no infrastructure. Risks associated with our international business activities may increase our costs and require significant management attention. These risks include restrictions on international travel, which may restrict our ability to grow and service our business; international shipping delays; tariffs; sanctions or other trade restrictions that preclude or restrict doing business with particular foreign governments, companies or individuals; technical challenges we may face in adapting our solutions to function with different satellite services and technology in use in various regions around the world; satisfaction of international regulatory requirements and delays and costs associated with procurement of any necessary licenses or permits; the potential unavailability of content licenses covering international waters and foreign locations; increased costs of providing customer support in multiple languages; increased costs of managing operations that are international in scope; potentially adverse tax consequences, including restrictions on the repatriation of earnings; protectionist laws and business practices that favor local competitors, which could slow our growth in international markets; potentially longer sales cycles; potentially longer accounts receivable payment cycles and difficulties in collecting accounts receivable; and economic and political instability in some international markets.</w:t>
      </w: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could incur additional legal compliance costs associated with our international operations and could become subject to legal penalties if we do not comply with certain regulations.</w:t>
      </w:r>
    </w:p>
    <w:p>
      <w:pPr>
        <w:spacing w:after="0" w:line="17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international operations subject us to a number of legal requirements, including the U.S. Foreign Corrupt Practices Act, the U.K. Bribery Act and the customs, export, trade sanctions and anti-boycott laws of the United States, including those administered by the U.S. Customs and Border Protection, the Bureau of Industry and Security, the Department of Commerce, the Department of State, and the Office of Foreign Assets Control of the Treasury Department, as well as those of other nations. In addition, many of the countries where our customers use our services and products have licensing and regulatory requirements for the importation and use of satellite communications and reception equipment, including the use of such equipment in territorial waters, the transmission of satellite signals on certain radio frequencies, the transmission of VoIP services using such equipment and the reception of certain video programming services. These laws and regulations are continually changing, making compliance complex. We incur significant costs identifying and maintaining compliance with applicable licensing and regulatory requirements. Our training and compliance programs and our other internal control policies may be insufficient to protect us from acts committed by our employees, agents or third-party contractors. Any violation of these requirements by us or our employees, agents or third-party contractors may subject us to significant criminal and civil liability. Further, many of our commercial suppliers of satellite transmission capacity impose contractual obligations on us that permit them to suspend or terminate their provision of satellite services to support our network if we fail to maintain compliance with these laws and regulations. The loss of access to satellite capacity would materially and adversely affect our maritime communications service.</w:t>
      </w:r>
    </w:p>
    <w:p>
      <w:pPr>
        <w:spacing w:after="0" w:line="207"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7"/>
          <w:szCs w:val="17"/>
          <w:b w:val="1"/>
          <w:bCs w:val="1"/>
          <w:color w:val="auto"/>
        </w:rPr>
        <w:t>We are subject to FCC rules and regulations, and any non-compliance could subject us to FCC enforcement actions, fines, loss of licenses and possibly restrictions on our ability to operate or offer certain of our services.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satellite communications industry in the United States is regulated by the Federal Communications Commission (FCC), and we are subject to FCC regulations relating to privacy, contributions to the Universal Service Fund, or USF, and other requirements. If we do not comply with FCC regulations, we could face enforcement actions, substantial fines, penalties, loss of licenses and possibly restrictions on our ability to operate or offer services. Any enforcement action by the FCC, which may be a public process, could hurt our reputation, impair our ability to sell our services to customers and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Privacy concerns and domestic or foreign laws and regulations may reduce demand for our services, increase our costs and harm our business.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company and our customers can use our services to collect, use and store personal, confidential and sensitive information regarding the content and manner of usage of our services by them, their employees and maritime crews. Federal, state and foreign governments have adopted and are proposing new and more stringent laws and regulations regarding the collection, use, storage and transfer of information, such as the European Union’s General Data Protection Regulation (“GDPR”). The costs of compliance with, and other burdens imposed by, such laws and regulations may limit the use and adoption of our services and reduce overall demand. Non-compliance with these laws and regulations could lead to significant remediation expenses, fines, penalties or other liabilities, such as orders or consent decrees that require modifications to our privacy practices, as well as reputational damage or third-party lawsuits seeking damages or other relief. For example, the GDPR imposes a strict data protection compliance regime with penalties of up to the greater of 2%-4% of worldwide revenue or €11-22 million.</w:t>
      </w:r>
    </w:p>
    <w:p>
      <w:pPr>
        <w:spacing w:after="0" w:line="200" w:lineRule="exact"/>
        <w:rPr>
          <w:sz w:val="20"/>
          <w:szCs w:val="20"/>
          <w:color w:val="auto"/>
        </w:rPr>
      </w:pPr>
    </w:p>
    <w:p>
      <w:pPr>
        <w:spacing w:after="0" w:line="21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Domestic and international legislative and regulatory initiatives may harm our ability, and the ability of our customers, to process, handle, store, use and transmit information, which could reduce demand for our services, increase our costs and force us to change our business practices. These laws and regulations are still evolving, are likely to be in flux and may be subject to uncertain interpretation for the foreseeable future. Our business also could be harmed if legislation or regulations are adopted, interpreted or implemented in a manner that is inconsistent from country to country or inconsistent with our current policies and practices or those of our customers.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u w:val="single" w:color="auto"/>
          <w:color w:val="auto"/>
        </w:rPr>
        <w:t>Risks related to owning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market price of our common stock may be volatile.</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Our stock price has historically been volatile. During the period from January 1, 2020 to September 30, 2025, the trading price of our common stock ranged from $4.17 to $15.29. Many factors may cause our stock price to fluctuate, including variations in quarterly results; the introduction of new products and services by us or our competitors; adverse business developments; reductions-in-force; changes in estimates of our performance or recommendations by securities analysts; the hiring or departure of key personnel; acquisitions or strategic alliances involving us or our competitors; market conditions in our industry; and the global macroeconomic and geopolitical environment. Broad market fluctuations may adversely affect our stock price. When the market price of a company’s stock drops significantly, stockholders often institute securities litigation against that company. Any such litigation could cause us to incur significant expenses defending against the claim, divert the time and attention of our management and result in significant damages.</w:t>
      </w:r>
    </w:p>
    <w:p>
      <w:pPr>
        <w:spacing w:after="0" w:line="2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jc w:val="both"/>
        <w:ind w:firstLine="472"/>
        <w:spacing w:after="0" w:line="280" w:lineRule="auto"/>
        <w:rPr>
          <w:sz w:val="20"/>
          <w:szCs w:val="20"/>
          <w:color w:val="auto"/>
        </w:rPr>
      </w:pPr>
      <w:r>
        <w:rPr>
          <w:rFonts w:ascii="Times New Roman" w:cs="Times New Roman" w:eastAsia="Times New Roman" w:hAnsi="Times New Roman"/>
          <w:sz w:val="17"/>
          <w:szCs w:val="17"/>
          <w:color w:val="auto"/>
        </w:rPr>
        <w:t>On December 9, 2024, our Board of Directors authorized a share repurchase program pursuant in which we may purchase outstanding shares of our common stock for an aggregate purchase price of up to $10 million.</w:t>
      </w:r>
    </w:p>
    <w:p>
      <w:pPr>
        <w:spacing w:after="0" w:line="173" w:lineRule="exact"/>
        <w:rPr>
          <w:sz w:val="20"/>
          <w:szCs w:val="20"/>
          <w:color w:val="auto"/>
        </w:rPr>
      </w:pPr>
    </w:p>
    <w:p>
      <w:pPr>
        <w:jc w:val="both"/>
        <w:ind w:firstLine="472"/>
        <w:spacing w:after="0" w:line="245" w:lineRule="auto"/>
        <w:rPr>
          <w:sz w:val="20"/>
          <w:szCs w:val="20"/>
          <w:color w:val="auto"/>
        </w:rPr>
      </w:pPr>
      <w:r>
        <w:rPr>
          <w:rFonts w:ascii="Times New Roman" w:cs="Times New Roman" w:eastAsia="Times New Roman" w:hAnsi="Times New Roman"/>
          <w:sz w:val="17"/>
          <w:szCs w:val="17"/>
          <w:color w:val="auto"/>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Exchange Act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spacing w:after="0" w:line="214" w:lineRule="exact"/>
        <w:rPr>
          <w:sz w:val="20"/>
          <w:szCs w:val="20"/>
          <w:color w:val="auto"/>
        </w:rPr>
      </w:pPr>
    </w:p>
    <w:p>
      <w:pPr>
        <w:jc w:val="both"/>
        <w:ind w:firstLine="472"/>
        <w:spacing w:after="0" w:line="276" w:lineRule="auto"/>
        <w:rPr>
          <w:sz w:val="20"/>
          <w:szCs w:val="20"/>
          <w:color w:val="auto"/>
        </w:rPr>
      </w:pPr>
      <w:r>
        <w:rPr>
          <w:rFonts w:ascii="Times New Roman" w:cs="Times New Roman" w:eastAsia="Times New Roman" w:hAnsi="Times New Roman"/>
          <w:sz w:val="17"/>
          <w:szCs w:val="17"/>
          <w:color w:val="auto"/>
        </w:rPr>
        <w:t>During the three months ended September 30, 2025, we repurchased 21,865 shares of common stock in open market transactions at a cost of approximately $0.1 million. During the nine months ended September 30, 2025, we repurchased 264,213 shares of common stock in open market transactions at a cost of approximately $1.4 million. Except as noted above, there were no other repurchase programs outstanding.</w:t>
      </w:r>
    </w:p>
    <w:p>
      <w:pPr>
        <w:spacing w:after="0" w:line="190" w:lineRule="exact"/>
        <w:rPr>
          <w:sz w:val="20"/>
          <w:szCs w:val="20"/>
          <w:color w:val="auto"/>
        </w:rPr>
      </w:pPr>
    </w:p>
    <w:p>
      <w:pPr>
        <w:jc w:val="both"/>
        <w:ind w:firstLine="472"/>
        <w:spacing w:after="0" w:line="268" w:lineRule="auto"/>
        <w:rPr>
          <w:sz w:val="20"/>
          <w:szCs w:val="20"/>
          <w:color w:val="auto"/>
        </w:rPr>
      </w:pPr>
      <w:r>
        <w:rPr>
          <w:rFonts w:ascii="Times New Roman" w:cs="Times New Roman" w:eastAsia="Times New Roman" w:hAnsi="Times New Roman"/>
          <w:sz w:val="17"/>
          <w:szCs w:val="17"/>
          <w:color w:val="auto"/>
        </w:rPr>
        <w:t>During the three and nine months ended September 30, 2025, no vested restricted shares were surrendered to us in satisfaction of tax withholding obligations.</w:t>
      </w:r>
    </w:p>
    <w:p>
      <w:pPr>
        <w:spacing w:after="0" w:line="200" w:lineRule="exact"/>
        <w:rPr>
          <w:sz w:val="20"/>
          <w:szCs w:val="20"/>
          <w:color w:val="auto"/>
        </w:rPr>
      </w:pP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The following table provides information about our repurchase of common stock during the three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3"/>
                <w:szCs w:val="13"/>
                <w:color w:val="auto"/>
              </w:rPr>
            </w:pPr>
          </w:p>
        </w:tc>
        <w:tc>
          <w:tcPr>
            <w:tcW w:w="208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20" w:type="dxa"/>
            <w:vAlign w:val="bottom"/>
          </w:tcPr>
          <w:p>
            <w:pPr>
              <w:spacing w:after="0"/>
              <w:rPr>
                <w:sz w:val="13"/>
                <w:szCs w:val="13"/>
                <w:color w:val="auto"/>
              </w:rPr>
            </w:pPr>
          </w:p>
        </w:tc>
        <w:tc>
          <w:tcPr>
            <w:tcW w:w="196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8"/>
              </w:rPr>
              <w:t>Approximate Dollar Value of</w:t>
            </w:r>
          </w:p>
        </w:tc>
        <w:tc>
          <w:tcPr>
            <w:tcW w:w="0" w:type="dxa"/>
            <w:vAlign w:val="bottom"/>
          </w:tcPr>
          <w:p>
            <w:pPr>
              <w:spacing w:after="0"/>
              <w:rPr>
                <w:sz w:val="1"/>
                <w:szCs w:val="1"/>
                <w:color w:val="auto"/>
              </w:rPr>
            </w:pPr>
          </w:p>
        </w:tc>
      </w:tr>
      <w:tr>
        <w:trPr>
          <w:trHeight w:val="142"/>
        </w:trPr>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7"/>
              </w:rPr>
              <w:t>Average Price Paid per Share</w:t>
            </w:r>
            <w:r>
              <w:rPr>
                <w:rFonts w:ascii="Times New Roman" w:cs="Times New Roman" w:eastAsia="Times New Roman" w:hAnsi="Times New Roman"/>
                <w:sz w:val="18"/>
                <w:szCs w:val="18"/>
                <w:b w:val="1"/>
                <w:bCs w:val="1"/>
                <w:color w:val="auto"/>
                <w:w w:val="97"/>
                <w:vertAlign w:val="superscript"/>
              </w:rPr>
              <w:t>(1)</w:t>
            </w:r>
          </w:p>
        </w:tc>
        <w:tc>
          <w:tcPr>
            <w:tcW w:w="20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20" w:type="dxa"/>
            <w:vAlign w:val="bottom"/>
          </w:tcPr>
          <w:p>
            <w:pPr>
              <w:spacing w:after="0"/>
              <w:rPr>
                <w:sz w:val="12"/>
                <w:szCs w:val="12"/>
                <w:color w:val="auto"/>
              </w:rPr>
            </w:pPr>
          </w:p>
        </w:tc>
        <w:tc>
          <w:tcPr>
            <w:tcW w:w="1960" w:type="dxa"/>
            <w:vAlign w:val="bottom"/>
          </w:tcPr>
          <w:p>
            <w:pPr>
              <w:jc w:val="center"/>
              <w:ind w:right="41"/>
              <w:spacing w:after="0" w:line="143" w:lineRule="exact"/>
              <w:rPr>
                <w:sz w:val="20"/>
                <w:szCs w:val="20"/>
                <w:color w:val="auto"/>
              </w:rPr>
            </w:pPr>
            <w:r>
              <w:rPr>
                <w:rFonts w:ascii="Times New Roman" w:cs="Times New Roman" w:eastAsia="Times New Roman" w:hAnsi="Times New Roman"/>
                <w:sz w:val="14"/>
                <w:szCs w:val="14"/>
                <w:b w:val="1"/>
                <w:bCs w:val="1"/>
                <w:color w:val="auto"/>
                <w:w w:val="98"/>
              </w:rPr>
              <w:t>Shares that May Yet Be</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vMerge w:val="continue"/>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2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Purchased Under the Program</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July 1 - July 31</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8,653,713</w:t>
            </w:r>
          </w:p>
        </w:tc>
        <w:tc>
          <w:tcPr>
            <w:tcW w:w="0" w:type="dxa"/>
            <w:vAlign w:val="bottom"/>
          </w:tcPr>
          <w:p>
            <w:pPr>
              <w:spacing w:after="0"/>
              <w:rPr>
                <w:sz w:val="1"/>
                <w:szCs w:val="1"/>
                <w:color w:val="auto"/>
              </w:rPr>
            </w:pPr>
          </w:p>
        </w:tc>
      </w:tr>
      <w:tr>
        <w:trPr>
          <w:trHeight w:val="22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August 1 - August 31</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4,846</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8,628,064</w:t>
            </w:r>
          </w:p>
        </w:tc>
        <w:tc>
          <w:tcPr>
            <w:tcW w:w="0" w:type="dxa"/>
            <w:vAlign w:val="bottom"/>
          </w:tcPr>
          <w:p>
            <w:pPr>
              <w:spacing w:after="0"/>
              <w:rPr>
                <w:sz w:val="1"/>
                <w:szCs w:val="1"/>
                <w:color w:val="auto"/>
              </w:rPr>
            </w:pP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1 - September 30</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8,628,064</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21,865</w:t>
            </w:r>
          </w:p>
        </w:tc>
        <w:tc>
          <w:tcPr>
            <w:tcW w:w="1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5.27</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21,865</w:t>
            </w: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Does not include broker commissions.</w:t>
      </w:r>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52" w:lineRule="exact"/>
        <w:rPr>
          <w:sz w:val="20"/>
          <w:szCs w:val="20"/>
          <w:color w:val="auto"/>
        </w:rPr>
      </w:pPr>
    </w:p>
    <w:p>
      <w:pPr>
        <w:ind w:right="760"/>
        <w:spacing w:after="0" w:line="296" w:lineRule="auto"/>
        <w:rPr>
          <w:sz w:val="20"/>
          <w:szCs w:val="20"/>
          <w:color w:val="auto"/>
        </w:rPr>
      </w:pPr>
      <w:r>
        <w:rPr>
          <w:rFonts w:ascii="Times New Roman" w:cs="Times New Roman" w:eastAsia="Times New Roman" w:hAnsi="Times New Roman"/>
          <w:sz w:val="17"/>
          <w:szCs w:val="17"/>
          <w:color w:val="auto"/>
        </w:rPr>
        <w:t>During the three months ended September 30, 2025, none of our directors or officers (as defined in Rule 16a-1(f) under the Exchange Act) adopted or terminated any Rule 10b5-1 trading arrangement or non-Rule 10b5-1 trading arrangement (each as defined in Item 408 of Regulation S-K).</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8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Filed with</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80" w:type="dxa"/>
            <w:vAlign w:val="bottom"/>
            <w:gridSpan w:val="4"/>
            <w:vMerge w:val="continue"/>
          </w:tcPr>
          <w:p>
            <w:pPr>
              <w:spacing w:after="0"/>
              <w:rPr>
                <w:sz w:val="2"/>
                <w:szCs w:val="2"/>
                <w:color w:val="auto"/>
              </w:rPr>
            </w:pPr>
          </w:p>
        </w:tc>
        <w:tc>
          <w:tcPr>
            <w:tcW w:w="4780" w:type="dxa"/>
            <w:vAlign w:val="bottom"/>
            <w:gridSpan w:val="2"/>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20" w:type="dxa"/>
            <w:vAlign w:val="bottom"/>
            <w:gridSpan w:val="2"/>
            <w:vMerge w:val="continue"/>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478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this Form 10-Q</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0" w:type="dxa"/>
            <w:vAlign w:val="bottom"/>
          </w:tcPr>
          <w:p>
            <w:pPr>
              <w:spacing w:after="0"/>
              <w:rPr>
                <w:sz w:val="1"/>
                <w:szCs w:val="1"/>
                <w:color w:val="auto"/>
              </w:rPr>
            </w:pPr>
          </w:p>
        </w:tc>
      </w:tr>
      <w:tr>
        <w:trPr>
          <w:trHeight w:val="183"/>
        </w:trPr>
        <w:tc>
          <w:tcPr>
            <w:tcW w:w="860" w:type="dxa"/>
            <w:vAlign w:val="bottom"/>
            <w:tcBorders>
              <w:top w:val="single" w:sz="8" w:color="auto"/>
            </w:tcBorders>
            <w:gridSpan w:val="3"/>
          </w:tcPr>
          <w:p>
            <w:pPr>
              <w:jc w:val="right"/>
              <w:spacing w:after="0" w:line="183"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120" w:type="dxa"/>
            <w:vAlign w:val="bottom"/>
          </w:tcPr>
          <w:p>
            <w:pPr>
              <w:spacing w:after="0"/>
              <w:rPr>
                <w:sz w:val="15"/>
                <w:szCs w:val="15"/>
                <w:color w:val="auto"/>
              </w:rPr>
            </w:pPr>
          </w:p>
        </w:tc>
        <w:tc>
          <w:tcPr>
            <w:tcW w:w="4680" w:type="dxa"/>
            <w:vAlign w:val="bottom"/>
            <w:tcBorders>
              <w:top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Amended and Restated Certificate of Incorporation, as amended</w:t>
            </w: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10-Q</w:t>
            </w:r>
          </w:p>
        </w:tc>
        <w:tc>
          <w:tcPr>
            <w:tcW w:w="100" w:type="dxa"/>
            <w:vAlign w:val="bottom"/>
          </w:tcPr>
          <w:p>
            <w:pPr>
              <w:spacing w:after="0"/>
              <w:rPr>
                <w:sz w:val="15"/>
                <w:szCs w:val="15"/>
                <w:color w:val="auto"/>
              </w:rPr>
            </w:pPr>
          </w:p>
        </w:tc>
        <w:tc>
          <w:tcPr>
            <w:tcW w:w="164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August 6, 2010</w:t>
            </w:r>
          </w:p>
        </w:tc>
        <w:tc>
          <w:tcPr>
            <w:tcW w:w="100" w:type="dxa"/>
            <w:vAlign w:val="bottom"/>
          </w:tcPr>
          <w:p>
            <w:pPr>
              <w:spacing w:after="0"/>
              <w:rPr>
                <w:sz w:val="15"/>
                <w:szCs w:val="15"/>
                <w:color w:val="auto"/>
              </w:rPr>
            </w:pPr>
          </w:p>
        </w:tc>
        <w:tc>
          <w:tcPr>
            <w:tcW w:w="110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3"/>
          </w:tcPr>
          <w:p>
            <w:pPr>
              <w:jc w:val="right"/>
              <w:spacing w:after="0"/>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Certificate of Designations of Series A Junior Participating</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8-A</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August 19,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478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5"/>
                <w:szCs w:val="15"/>
                <w:color w:val="auto"/>
              </w:rPr>
              <w:t>Cumulative Preferred Stock of KVH Industries, Inc. classifying</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and designating the Series A Junior Participating Cumulative</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Preferred Stock</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60" w:type="dxa"/>
            <w:vAlign w:val="bottom"/>
            <w:gridSpan w:val="3"/>
          </w:tcPr>
          <w:p>
            <w:pPr>
              <w:jc w:val="right"/>
              <w:spacing w:after="0"/>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Bylaws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10-Q</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November 1,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3"/>
          </w:tcPr>
          <w:p>
            <w:pPr>
              <w:jc w:val="right"/>
              <w:spacing w:after="0"/>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Specimen certificate for the common stock</w:t>
            </w: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10-K</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March 2, 2018</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Rule 13a-14(a)/15d-14(a) certification of principal executive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Rule 13a-14(a)/15d-14(a) certification of principal financial</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officer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120" w:type="dxa"/>
            <w:vAlign w:val="bottom"/>
          </w:tcPr>
          <w:p>
            <w:pPr>
              <w:spacing w:after="0"/>
              <w:rPr>
                <w:sz w:val="20"/>
                <w:szCs w:val="20"/>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Section 1350 certification of principal executive officer and</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8"/>
                <w:szCs w:val="18"/>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The following financial information from KVH Industries, Inc.'s</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Quarterly Report on Form 10-Q for the quarter ended September</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30,  2025,  formatted  in  Inline  XBRL  (Extensible  Business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Reporting  Language):  (i)  the  Consolidated  Balance  Sheets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(unaudited),  (ii)  the  Consolidated  Statements  of  Operations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(unaudited), (iii) the Consolidated Statements of Comprehensive</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Loss  (unaudited),  (iv)  the  Consolidated  Statements  of</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8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Stockholders' Equity (unaudited), (v) the Consolidated Statements</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8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of Cash Flows (unaudited), and (vi) the Notes to Consolidated</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Interim Financial Statements (unaudited).</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2"/>
                <w:szCs w:val="22"/>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X</w:t>
            </w: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XBRL document)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2"/>
          </w:tcPr>
          <w:p>
            <w:pPr>
              <w:ind w:left="4560"/>
              <w:spacing w:after="0"/>
              <w:rPr>
                <w:sz w:val="20"/>
                <w:szCs w:val="20"/>
                <w:color w:val="auto"/>
              </w:rPr>
            </w:pPr>
            <w:r>
              <w:rPr>
                <w:rFonts w:ascii="Times New Roman" w:cs="Times New Roman" w:eastAsia="Times New Roman" w:hAnsi="Times New Roman"/>
                <w:sz w:val="17"/>
                <w:szCs w:val="17"/>
                <w:color w:val="auto"/>
              </w:rPr>
              <w:t>45</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5" w:name="page46"/>
    <w:bookmarkEnd w:id="45"/>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7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Date: November 6, 2025</w:t>
      </w:r>
    </w:p>
    <w:p>
      <w:pPr>
        <w:spacing w:after="0" w:line="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KVH Industries, Inc.</w:t>
      </w:r>
    </w:p>
    <w:p>
      <w:pPr>
        <w:spacing w:after="0" w:line="80" w:lineRule="exact"/>
        <w:rPr>
          <w:sz w:val="20"/>
          <w:szCs w:val="20"/>
          <w:color w:val="auto"/>
        </w:rPr>
      </w:pPr>
    </w:p>
    <w:p>
      <w:pPr>
        <w:ind w:left="5240"/>
        <w:spacing w:after="0"/>
        <w:tabs>
          <w:tab w:leader="none" w:pos="76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20320</wp:posOffset>
            </wp:positionV>
            <wp:extent cx="34766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1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b w:val="1"/>
          <w:bCs w:val="1"/>
          <w:color w:val="auto"/>
        </w:rPr>
        <w:t>Anthony F. Pike</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7"/>
          <w:szCs w:val="17"/>
          <w:b w:val="1"/>
          <w:bCs w:val="1"/>
          <w:color w:val="auto"/>
        </w:rPr>
        <w:t>(Duly Authorized Officer and Chief Financial</w:t>
      </w:r>
    </w:p>
    <w:p>
      <w:pPr>
        <w:ind w:left="8220"/>
        <w:spacing w:after="0"/>
        <w:rPr>
          <w:sz w:val="20"/>
          <w:szCs w:val="20"/>
          <w:color w:val="auto"/>
        </w:rPr>
      </w:pPr>
      <w:r>
        <w:rPr>
          <w:rFonts w:ascii="Times New Roman" w:cs="Times New Roman" w:eastAsia="Times New Roman" w:hAnsi="Times New Roman"/>
          <w:sz w:val="17"/>
          <w:szCs w:val="17"/>
          <w:b w:val="1"/>
          <w:b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0920"/>
          </w:cols>
          <w:pgMar w:left="320" w:top="1010" w:right="6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C. Bruun, certify that:</w:t>
      </w:r>
    </w:p>
    <w:p>
      <w:pPr>
        <w:spacing w:after="0" w:line="119" w:lineRule="exact"/>
        <w:rPr>
          <w:sz w:val="20"/>
          <w:szCs w:val="20"/>
          <w:color w:val="auto"/>
        </w:rPr>
      </w:pPr>
    </w:p>
    <w:p>
      <w:pPr>
        <w:ind w:left="640" w:hanging="321"/>
        <w:spacing w:after="0"/>
        <w:tabs>
          <w:tab w:leader="none" w:pos="6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6, 2025</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Brent C. Bruun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Brent C. Bruun</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ectPr>
          <w:pgSz w:w="11900" w:h="16838" w:orient="portrait"/>
          <w:cols w:equalWidth="0" w:num="1">
            <w:col w:w="11240"/>
          </w:cols>
          <w:pgMar w:left="320" w:top="866"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Rule 13a-14 or 15d-14 under the Securities Exchange Act of 1934 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Anthony F. Pike, certify that:</w:t>
      </w:r>
    </w:p>
    <w:p>
      <w:pPr>
        <w:spacing w:after="0" w:line="119" w:lineRule="exact"/>
        <w:rPr>
          <w:sz w:val="20"/>
          <w:szCs w:val="20"/>
          <w:color w:val="auto"/>
        </w:rPr>
      </w:pPr>
    </w:p>
    <w:p>
      <w:pPr>
        <w:ind w:left="640" w:hanging="321"/>
        <w:spacing w:after="0"/>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KVH Industries, Inc.;</w:t>
      </w:r>
    </w:p>
    <w:p>
      <w:pPr>
        <w:spacing w:after="0" w:line="118"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1"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jc w:val="both"/>
        <w:ind w:left="320" w:hanging="1"/>
        <w:spacing w:after="0" w:line="27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4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jc w:val="both"/>
        <w:ind w:left="940" w:firstLine="8"/>
        <w:spacing w:after="0" w:line="276" w:lineRule="auto"/>
        <w:tabs>
          <w:tab w:leader="none" w:pos="125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320" w:hanging="1"/>
        <w:spacing w:after="0" w:line="296" w:lineRule="auto"/>
        <w:tabs>
          <w:tab w:leader="none" w:pos="63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4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940" w:firstLine="8"/>
        <w:spacing w:after="0" w:line="296" w:lineRule="auto"/>
        <w:tabs>
          <w:tab w:leader="none" w:pos="125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6, 2025</w:t>
      </w:r>
    </w:p>
    <w:p>
      <w:pPr>
        <w:spacing w:after="0" w:line="23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/s/ Anthony F.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3471545</wp:posOffset>
            </wp:positionH>
            <wp:positionV relativeFrom="paragraph">
              <wp:posOffset>20320</wp:posOffset>
            </wp:positionV>
            <wp:extent cx="24955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495550" cy="8255"/>
                    </a:xfrm>
                    <a:prstGeom prst="rect">
                      <a:avLst/>
                    </a:prstGeom>
                    <a:noFill/>
                  </pic:spPr>
                </pic:pic>
              </a:graphicData>
            </a:graphic>
          </wp:anchor>
        </w:drawing>
      </w:r>
    </w:p>
    <w:p>
      <w:pPr>
        <w:spacing w:after="0" w:line="9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Anthony F. Pike</w:t>
      </w:r>
    </w:p>
    <w:p>
      <w:pPr>
        <w:spacing w:after="0" w:line="21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240"/>
          </w:cols>
          <w:pgMar w:left="320" w:top="866"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on Form 10-Q of KVH Industries, Inc. (the “Company”) for the quarter ended September 30, 2025,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w:t>
      </w:r>
    </w:p>
    <w:p>
      <w:pPr>
        <w:spacing w:after="0" w:line="378" w:lineRule="exact"/>
        <w:rPr>
          <w:sz w:val="20"/>
          <w:szCs w:val="20"/>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Act of 1934; and</w:t>
      </w:r>
    </w:p>
    <w:p>
      <w:pPr>
        <w:spacing w:after="0" w:line="92" w:lineRule="exact"/>
        <w:rPr>
          <w:rFonts w:ascii="Times New Roman" w:cs="Times New Roman" w:eastAsia="Times New Roman" w:hAnsi="Times New Roman"/>
          <w:sz w:val="17"/>
          <w:szCs w:val="17"/>
          <w:color w:val="auto"/>
        </w:rPr>
      </w:pPr>
    </w:p>
    <w:p>
      <w:pPr>
        <w:ind w:left="640" w:hanging="321"/>
        <w:spacing w:after="0"/>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60" w:type="dxa"/>
            <w:vAlign w:val="bottom"/>
          </w:tcPr>
          <w:p>
            <w:pPr>
              <w:spacing w:after="0"/>
              <w:rPr>
                <w:sz w:val="17"/>
                <w:szCs w:val="17"/>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auto"/>
              </w:rPr>
              <w:t>/s/ Brent C. Bruun</w:t>
            </w:r>
          </w:p>
        </w:tc>
        <w:tc>
          <w:tcPr>
            <w:tcW w:w="29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Anthony F. Pike</w:t>
            </w:r>
          </w:p>
        </w:tc>
        <w:tc>
          <w:tcPr>
            <w:tcW w:w="0" w:type="dxa"/>
            <w:vAlign w:val="bottom"/>
          </w:tcPr>
          <w:p>
            <w:pPr>
              <w:spacing w:after="0"/>
              <w:rPr>
                <w:sz w:val="1"/>
                <w:szCs w:val="1"/>
                <w:color w:val="auto"/>
              </w:rPr>
            </w:pPr>
          </w:p>
        </w:tc>
      </w:tr>
      <w:tr>
        <w:trPr>
          <w:trHeight w:val="242"/>
        </w:trPr>
        <w:tc>
          <w:tcPr>
            <w:tcW w:w="660" w:type="dxa"/>
            <w:vAlign w:val="bottom"/>
          </w:tcPr>
          <w:p>
            <w:pPr>
              <w:spacing w:after="0"/>
              <w:rPr>
                <w:sz w:val="21"/>
                <w:szCs w:val="21"/>
                <w:color w:val="auto"/>
              </w:rPr>
            </w:pP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Brent C. Bruun</w:t>
            </w:r>
          </w:p>
        </w:tc>
        <w:tc>
          <w:tcPr>
            <w:tcW w:w="2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Anthony F. Pike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4"/>
        </w:trPr>
        <w:tc>
          <w:tcPr>
            <w:tcW w:w="66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tc>
        <w:tc>
          <w:tcPr>
            <w:tcW w:w="1520" w:type="dxa"/>
            <w:vAlign w:val="bottom"/>
          </w:tcPr>
          <w:p>
            <w:pPr>
              <w:spacing w:after="0"/>
              <w:rPr>
                <w:sz w:val="24"/>
                <w:szCs w:val="24"/>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92"/>
        </w:trPr>
        <w:tc>
          <w:tcPr>
            <w:tcW w:w="6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9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0"/>
        </w:trPr>
        <w:tc>
          <w:tcPr>
            <w:tcW w:w="4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November 6, 2025</w:t>
            </w:r>
          </w:p>
        </w:tc>
        <w:tc>
          <w:tcPr>
            <w:tcW w:w="152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Date:</w:t>
            </w:r>
          </w:p>
        </w:tc>
        <w:tc>
          <w:tcPr>
            <w:tcW w:w="1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6, 2025</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5"/>
    </w:lvl>
  </w:abstractNum>
  <w:abstractNum w:abstractNumId="5">
    <w:nsid w:val="7FDCC233"/>
    <w:multiLevelType w:val="hybridMultilevel"/>
    <w:lvl w:ilvl="0">
      <w:lvlJc w:val="left"/>
      <w:lvlText w:val="(%1)"/>
      <w:numFmt w:val="decimal"/>
      <w:start w:val="8"/>
    </w:lvl>
  </w:abstractNum>
  <w:abstractNum w:abstractNumId="6">
    <w:nsid w:val="1BEFD79F"/>
    <w:multiLevelType w:val="hybridMultilevel"/>
    <w:lvl w:ilvl="0">
      <w:lvlJc w:val="left"/>
      <w:lvlText w:val="(%1)"/>
      <w:numFmt w:val="decimal"/>
      <w:start w:val="9"/>
    </w:lvl>
  </w:abstractNum>
  <w:abstractNum w:abstractNumId="7">
    <w:nsid w:val="41A7C4C9"/>
    <w:multiLevelType w:val="hybridMultilevel"/>
    <w:lvl w:ilvl="0">
      <w:lvlJc w:val="left"/>
      <w:lvlText w:val="(%1)"/>
      <w:numFmt w:val="decimal"/>
      <w:start w:val="10"/>
    </w:lvl>
  </w:abstractNum>
  <w:abstractNum w:abstractNumId="8">
    <w:nsid w:val="6B68079A"/>
    <w:multiLevelType w:val="hybridMultilevel"/>
    <w:lvl w:ilvl="0">
      <w:lvlJc w:val="left"/>
      <w:lvlText w:val="(%1)"/>
      <w:numFmt w:val="decimal"/>
      <w:start w:val="11"/>
    </w:lvl>
  </w:abstractNum>
  <w:abstractNum w:abstractNumId="9">
    <w:nsid w:val="4E6AFB66"/>
    <w:multiLevelType w:val="hybridMultilevel"/>
    <w:lvl w:ilvl="0">
      <w:lvlJc w:val="left"/>
      <w:lvlText w:val="(%1)"/>
      <w:numFmt w:val="decimal"/>
      <w:start w:val="12"/>
    </w:lvl>
  </w:abstractNum>
  <w:abstractNum w:abstractNumId="10">
    <w:nsid w:val="25E45D32"/>
    <w:multiLevelType w:val="hybridMultilevel"/>
    <w:lvl w:ilvl="0">
      <w:lvlJc w:val="left"/>
      <w:lvlText w:val="(%1)"/>
      <w:numFmt w:val="decimal"/>
      <w:start w:val="13"/>
    </w:lvl>
  </w:abstractNum>
  <w:abstractNum w:abstractNumId="11">
    <w:nsid w:val="519B500D"/>
    <w:multiLevelType w:val="hybridMultilevel"/>
    <w:lvl w:ilvl="0">
      <w:lvlJc w:val="left"/>
      <w:lvlText w:val="(%1)"/>
      <w:numFmt w:val="decimal"/>
      <w:start w:val="14"/>
    </w:lvl>
  </w:abstractNum>
  <w:abstractNum w:abstractNumId="12">
    <w:nsid w:val="431BD7B7"/>
    <w:multiLevelType w:val="hybridMultilevel"/>
    <w:lvl w:ilvl="0">
      <w:lvlJc w:val="left"/>
      <w:lvlText w:val="(%1)"/>
      <w:numFmt w:val="decimal"/>
      <w:start w:val="15"/>
    </w:lvl>
  </w:abstractNum>
  <w:abstractNum w:abstractNumId="13">
    <w:nsid w:val="3F2DBA31"/>
    <w:multiLevelType w:val="hybridMultilevel"/>
    <w:lvl w:ilvl="0">
      <w:lvlJc w:val="left"/>
      <w:lvlText w:val="(%1)"/>
      <w:numFmt w:val="decimal"/>
      <w:start w:val="16"/>
    </w:lvl>
  </w:abstractNum>
  <w:abstractNum w:abstractNumId="14">
    <w:nsid w:val="7C83E458"/>
    <w:multiLevelType w:val="hybridMultilevel"/>
    <w:lvl w:ilvl="0">
      <w:lvlJc w:val="left"/>
      <w:lvlText w:val="(%1)"/>
      <w:numFmt w:val="decimal"/>
      <w:start w:val="17"/>
    </w:lvl>
  </w:abstractNum>
  <w:abstractNum w:abstractNumId="15">
    <w:nsid w:val="257130A3"/>
    <w:multiLevelType w:val="hybridMultilevel"/>
    <w:lvl w:ilvl="0">
      <w:lvlJc w:val="left"/>
      <w:lvlText w:val="(%1)"/>
      <w:numFmt w:val="decimal"/>
      <w:start w:val="18"/>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6"/>
    </w:lvl>
  </w:abstractNum>
  <w:abstractNum w:abstractNumId="18">
    <w:nsid w:val="628C895D"/>
    <w:multiLevelType w:val="hybridMultilevel"/>
    <w:lvl w:ilvl="0">
      <w:lvlJc w:val="left"/>
      <w:lvlText w:val="(%1)"/>
      <w:numFmt w:val="decimal"/>
      <w:start w:val="19"/>
    </w:lvl>
  </w:abstractNum>
  <w:abstractNum w:abstractNumId="19">
    <w:nsid w:val="333AB105"/>
    <w:multiLevelType w:val="hybridMultilevel"/>
    <w:lvl w:ilvl="0">
      <w:lvlJc w:val="left"/>
      <w:lvlText w:val="(%1)"/>
      <w:numFmt w:val="decimal"/>
      <w:start w:val="20"/>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7" Type="http://schemas.openxmlformats.org/officeDocument/2006/relationships/hyperlink" Target="https://www.sec.gov/Archives/edgar/data/1007587/000119312510179682/dex31.htm" TargetMode="External"/><Relationship Id="rId58" Type="http://schemas.openxmlformats.org/officeDocument/2006/relationships/hyperlink" Target="https://www.sec.gov/Archives/edgar/data/1007587/000110465922092774/tm2223782d1_ex3-1.htm" TargetMode="External"/><Relationship Id="rId59" Type="http://schemas.openxmlformats.org/officeDocument/2006/relationships/hyperlink" Target="https://www.sec.gov/Archives/edgar/data/1007587/000100758717000038/kvhi1101201710qex32.htm" TargetMode="External"/><Relationship Id="rId60" Type="http://schemas.openxmlformats.org/officeDocument/2006/relationships/hyperlink" Target="https://www.sec.gov/Archives/edgar/data/1007587/000100758718000006/kvhi12312017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2025-11-06T15:56:53Z</dcterms:created>
  <dcterms:modified xsi:type="dcterms:W3CDTF">2025-11-06T15:56:53Z</dcterms:modified>
</cp:coreProperties>
</file>