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38735</wp:posOffset>
            </wp:positionV>
            <wp:extent cx="2082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62230</wp:posOffset>
            </wp:positionV>
            <wp:extent cx="2082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80" w:right="80" w:hanging="654"/>
        <w:spacing w:after="0" w:line="229"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 w:lineRule="exact"/>
        <w:rPr>
          <w:sz w:val="24"/>
          <w:szCs w:val="24"/>
          <w:color w:val="auto"/>
        </w:rPr>
      </w:pPr>
    </w:p>
    <w:p>
      <w:pPr>
        <w:ind w:left="680" w:right="60" w:hanging="654"/>
        <w:spacing w:after="0" w:line="229"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jc w:val="right"/>
        <w:ind w:right="4360"/>
        <w:spacing w:after="0"/>
        <w:tabs>
          <w:tab w:leader="none" w:pos="4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jc w:val="right"/>
        <w:ind w:right="4300"/>
        <w:spacing w:after="0"/>
        <w:rPr>
          <w:sz w:val="20"/>
          <w:szCs w:val="20"/>
          <w:color w:val="auto"/>
        </w:rPr>
      </w:pPr>
      <w:r>
        <w:rPr>
          <w:rFonts w:ascii="Times New Roman" w:cs="Times New Roman" w:eastAsia="Times New Roman" w:hAnsi="Times New Roman"/>
          <w:sz w:val="18"/>
          <w:szCs w:val="18"/>
          <w:b w:val="1"/>
          <w:bCs w:val="1"/>
          <w:color w:val="auto"/>
        </w:rPr>
        <w:t>Commission File Number 0-28082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47625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KVH Industries,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38735</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19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05-0420589</w:t>
      </w:r>
    </w:p>
    <w:p>
      <w:pPr>
        <w:spacing w:after="0" w:line="42" w:lineRule="exact"/>
        <w:rPr>
          <w:sz w:val="24"/>
          <w:szCs w:val="24"/>
          <w:color w:val="auto"/>
        </w:rPr>
      </w:pPr>
    </w:p>
    <w:p>
      <w:pPr>
        <w:sectPr>
          <w:pgSz w:w="11900" w:h="16838" w:orient="portrait"/>
          <w:cols w:equalWidth="0" w:num="2">
            <w:col w:w="7340" w:space="720"/>
            <w:col w:w="3180"/>
          </w:cols>
          <w:pgMar w:left="320" w:top="995"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p>
      <w:pPr>
        <w:spacing w:after="0" w:line="123" w:lineRule="exact"/>
        <w:rPr>
          <w:sz w:val="24"/>
          <w:szCs w:val="24"/>
          <w:color w:val="auto"/>
        </w:rPr>
      </w:pPr>
    </w:p>
    <w:p>
      <w:pPr>
        <w:sectPr>
          <w:pgSz w:w="11900" w:h="16838" w:orient="portrait"/>
          <w:cols w:equalWidth="0" w:num="2">
            <w:col w:w="6520" w:space="720"/>
            <w:col w:w="4000"/>
          </w:cols>
          <w:pgMar w:left="320" w:top="99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50 Enterprise Center, Middletown, RI 02842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(401) 847-3327</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67310</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4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2" w:lineRule="exact"/>
        <w:rPr>
          <w:sz w:val="24"/>
          <w:szCs w:val="24"/>
          <w:color w:val="auto"/>
        </w:rPr>
      </w:pPr>
    </w:p>
    <w:p>
      <w:pPr>
        <w:sectPr>
          <w:pgSz w:w="11900" w:h="16838" w:orient="portrait"/>
          <w:cols w:equalWidth="0" w:num="3">
            <w:col w:w="4500" w:space="720"/>
            <w:col w:w="1880" w:space="720"/>
            <w:col w:w="3420"/>
          </w:cols>
          <w:pgMar w:left="320" w:top="995" w:right="339" w:bottom="1440" w:gutter="0" w:footer="0" w:header="0"/>
          <w:type w:val="continuous"/>
        </w:sectPr>
      </w:pPr>
    </w:p>
    <w:p>
      <w:pPr>
        <w:ind w:left="8300"/>
        <w:spacing w:after="0"/>
        <w:rPr>
          <w:sz w:val="20"/>
          <w:szCs w:val="20"/>
          <w:color w:val="auto"/>
        </w:rPr>
      </w:pPr>
      <w:r>
        <w:rPr>
          <w:rFonts w:ascii="Times New Roman" w:cs="Times New Roman" w:eastAsia="Times New Roman" w:hAnsi="Times New Roman"/>
          <w:sz w:val="14"/>
          <w:szCs w:val="14"/>
          <w:color w:val="auto"/>
        </w:rPr>
        <w:t>The Nasdaq Stock Market LLC</w:t>
      </w:r>
    </w:p>
    <w:p>
      <w:pPr>
        <w:sectPr>
          <w:pgSz w:w="11900" w:h="16838" w:orient="portrait"/>
          <w:cols w:equalWidth="0" w:num="1">
            <w:col w:w="11240"/>
          </w:cols>
          <w:pgMar w:left="320" w:top="995" w:right="339" w:bottom="1440" w:gutter="0" w:footer="0" w:header="0"/>
          <w:type w:val="continuous"/>
        </w:sectPr>
      </w:pPr>
    </w:p>
    <w:p>
      <w:pPr>
        <w:spacing w:after="0" w:line="8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4"/>
          <w:szCs w:val="14"/>
          <w:color w:val="auto"/>
        </w:rPr>
        <w:t>KVHI</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880" w:space="720"/>
            <w:col w:w="2000" w:space="720"/>
            <w:col w:w="2920"/>
          </w:cols>
          <w:pgMar w:left="320" w:top="995" w:right="339"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requirements for the past 90 days.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80" w:val="left"/>
          <w:tab w:leader="none" w:pos="12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bl>
      <w:tblPr>
        <w:tblLayout w:type="fixed"/>
        <w:tblInd w:w="20" w:type="dxa"/>
        <w:tblCellMar>
          <w:top w:w="0" w:type="dxa"/>
          <w:left w:w="0" w:type="dxa"/>
          <w:bottom w:w="0" w:type="dxa"/>
          <w:right w:w="0" w:type="dxa"/>
        </w:tblCellMar>
      </w:tblPr>
      <w:tr>
        <w:trPr>
          <w:trHeight w:val="191"/>
        </w:trPr>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80"/>
              <w:spacing w:after="0" w:line="191" w:lineRule="exact"/>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80" w:type="dxa"/>
            <w:vAlign w:val="bottom"/>
          </w:tcPr>
          <w:p>
            <w:pPr>
              <w:spacing w:after="0"/>
              <w:rPr>
                <w:sz w:val="13"/>
                <w:szCs w:val="13"/>
                <w:color w:val="auto"/>
              </w:rPr>
            </w:pPr>
          </w:p>
        </w:tc>
        <w:tc>
          <w:tcPr>
            <w:tcW w:w="3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 shares</w:t>
            </w:r>
          </w:p>
        </w:tc>
      </w:tr>
      <w:tr>
        <w:trPr>
          <w:trHeight w:val="20"/>
        </w:trPr>
        <w:tc>
          <w:tcPr>
            <w:tcW w:w="1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31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July 29, 2024</w:t>
            </w:r>
          </w:p>
        </w:tc>
        <w:tc>
          <w:tcPr>
            <w:tcW w:w="4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19,714,086</w:t>
            </w:r>
          </w:p>
        </w:tc>
        <w:tc>
          <w:tcPr>
            <w:tcW w:w="1080" w:type="dxa"/>
            <w:vAlign w:val="bottom"/>
          </w:tcPr>
          <w:p>
            <w:pPr>
              <w:spacing w:after="0"/>
              <w:rPr>
                <w:sz w:val="22"/>
                <w:szCs w:val="22"/>
                <w:color w:val="auto"/>
              </w:rPr>
            </w:pPr>
          </w:p>
        </w:tc>
      </w:tr>
      <w:tr>
        <w:trPr>
          <w:trHeight w:val="1033"/>
        </w:trPr>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0" w:type="dxa"/>
            <w:vAlign w:val="bottom"/>
            <w:gridSpan w:val="10"/>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KVH INDUSTRIES, INC. AND SUBSIDIARIES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18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18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Page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gridSpan w:val="19"/>
            <w:vMerge w:val="continue"/>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INTERIM FINANCIAL STATEMENTS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2024 (unaudited) and December 31, 2023</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six months ended June 30, 2024 and 2023 (unaudited)</w:t>
            </w:r>
          </w:p>
        </w:tc>
        <w:tc>
          <w:tcPr>
            <w:tcW w:w="1220" w:type="dxa"/>
            <w:vAlign w:val="bottom"/>
            <w:gridSpan w:val="3"/>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 xml:space="preserve">Consolidated Statements of </w:t>
            </w:r>
            <w:r>
              <w:rPr>
                <w:rFonts w:ascii="Times New Roman" w:cs="Times New Roman" w:eastAsia="Times New Roman" w:hAnsi="Times New Roman"/>
                <w:sz w:val="18"/>
                <w:szCs w:val="18"/>
                <w:color w:val="0E32E1"/>
              </w:rPr>
              <w:t>Comprehensive (Loss) Income f</w:t>
            </w:r>
            <w:r>
              <w:rPr>
                <w:rFonts w:ascii="Times New Roman" w:cs="Times New Roman" w:eastAsia="Times New Roman" w:hAnsi="Times New Roman"/>
                <w:sz w:val="18"/>
                <w:szCs w:val="18"/>
                <w:color w:val="0000FF"/>
              </w:rPr>
              <w:t>or the three and six months ended June 30, 2024 and 2023</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Pr>
          <w:p>
            <w:pPr>
              <w:spacing w:after="0"/>
              <w:rPr>
                <w:sz w:val="13"/>
                <w:szCs w:val="13"/>
                <w:color w:val="auto"/>
              </w:rPr>
            </w:pPr>
          </w:p>
        </w:tc>
        <w:tc>
          <w:tcPr>
            <w:tcW w:w="580" w:type="dxa"/>
            <w:vAlign w:val="bottom"/>
            <w:tcBorders>
              <w:top w:val="single" w:sz="8" w:color="0E32E1"/>
            </w:tcBorders>
          </w:tcPr>
          <w:p>
            <w:pPr>
              <w:spacing w:after="0"/>
              <w:rPr>
                <w:sz w:val="13"/>
                <w:szCs w:val="13"/>
                <w:color w:val="auto"/>
              </w:rPr>
            </w:pPr>
          </w:p>
        </w:tc>
        <w:tc>
          <w:tcPr>
            <w:tcW w:w="1420" w:type="dxa"/>
            <w:vAlign w:val="bottom"/>
            <w:tcBorders>
              <w:top w:val="single" w:sz="8" w:color="0E32E1"/>
            </w:tcBorders>
            <w:gridSpan w:val="2"/>
          </w:tcPr>
          <w:p>
            <w:pPr>
              <w:spacing w:after="0"/>
              <w:rPr>
                <w:sz w:val="13"/>
                <w:szCs w:val="13"/>
                <w:color w:val="auto"/>
              </w:rPr>
            </w:pPr>
          </w:p>
        </w:tc>
        <w:tc>
          <w:tcPr>
            <w:tcW w:w="320" w:type="dxa"/>
            <w:vAlign w:val="bottom"/>
            <w:tcBorders>
              <w:top w:val="single" w:sz="8" w:color="0E32E1"/>
            </w:tcBorders>
          </w:tcPr>
          <w:p>
            <w:pPr>
              <w:spacing w:after="0"/>
              <w:rPr>
                <w:sz w:val="13"/>
                <w:szCs w:val="13"/>
                <w:color w:val="auto"/>
              </w:rPr>
            </w:pPr>
          </w:p>
        </w:tc>
        <w:tc>
          <w:tcPr>
            <w:tcW w:w="2980" w:type="dxa"/>
            <w:vAlign w:val="bottom"/>
            <w:tcBorders>
              <w:top w:val="single" w:sz="8" w:color="0000FF"/>
            </w:tcBorders>
            <w:gridSpan w:val="2"/>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six months ended June 30, 2024 and 2023 (unaudited)</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2024 and 2023 (unaudited)</w:t>
            </w:r>
          </w:p>
        </w:tc>
        <w:tc>
          <w:tcPr>
            <w:tcW w:w="52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880" w:type="dxa"/>
            <w:vAlign w:val="bottom"/>
            <w:gridSpan w:val="5"/>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144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600" w:type="dxa"/>
            <w:vAlign w:val="bottom"/>
            <w:gridSpan w:val="10"/>
          </w:tcPr>
          <w:p>
            <w:pPr>
              <w:spacing w:after="0"/>
              <w:rPr>
                <w:sz w:val="19"/>
                <w:szCs w:val="19"/>
                <w:color w:val="auto"/>
              </w:rPr>
            </w:pPr>
          </w:p>
        </w:tc>
        <w:tc>
          <w:tcPr>
            <w:tcW w:w="76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500" w:type="dxa"/>
            <w:vAlign w:val="bottom"/>
            <w:gridSpan w:val="13"/>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EXHIBITS</w:t>
            </w:r>
          </w:p>
        </w:tc>
        <w:tc>
          <w:tcPr>
            <w:tcW w:w="440" w:type="dxa"/>
            <w:vAlign w:val="bottom"/>
            <w:tcBorders>
              <w:top w:val="single" w:sz="8" w:color="0000FF"/>
            </w:tcBorders>
          </w:tcPr>
          <w:p>
            <w:pPr>
              <w:spacing w:after="0"/>
              <w:rPr>
                <w:sz w:val="18"/>
                <w:szCs w:val="18"/>
                <w:color w:val="auto"/>
              </w:rPr>
            </w:pPr>
          </w:p>
        </w:tc>
        <w:tc>
          <w:tcPr>
            <w:tcW w:w="7940" w:type="dxa"/>
            <w:vAlign w:val="bottom"/>
            <w:gridSpan w:val="14"/>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160" w:type="dxa"/>
            <w:vAlign w:val="bottom"/>
            <w:gridSpan w:val="11"/>
          </w:tcPr>
          <w:p>
            <w:pPr>
              <w:jc w:val="center"/>
              <w:ind w:left="2830"/>
              <w:spacing w:after="0"/>
              <w:rPr>
                <w:sz w:val="20"/>
                <w:szCs w:val="20"/>
                <w:color w:val="auto"/>
              </w:rPr>
            </w:pPr>
            <w:r>
              <w:rPr>
                <w:rFonts w:ascii="Times New Roman" w:cs="Times New Roman" w:eastAsia="Times New Roman" w:hAnsi="Times New Roman"/>
                <w:sz w:val="18"/>
                <w:szCs w:val="18"/>
                <w:color w:val="auto"/>
                <w:w w:val="88"/>
              </w:rPr>
              <w:t>2</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-2339340</wp:posOffset>
            </wp:positionV>
            <wp:extent cx="28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w:t>
        <w:tab/>
        <w:t>Financial Statements</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11,294</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58,477</w:t>
            </w:r>
          </w:p>
        </w:tc>
        <w:tc>
          <w:tcPr>
            <w:tcW w:w="0" w:type="dxa"/>
            <w:vAlign w:val="bottom"/>
          </w:tcPr>
          <w:p>
            <w:pPr>
              <w:spacing w:after="0"/>
              <w:rPr>
                <w:sz w:val="1"/>
                <w:szCs w:val="1"/>
                <w:color w:val="auto"/>
              </w:rPr>
            </w:pPr>
          </w:p>
        </w:tc>
      </w:tr>
      <w:tr>
        <w:trPr>
          <w:trHeight w:val="146"/>
        </w:trPr>
        <w:tc>
          <w:tcPr>
            <w:tcW w:w="806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$1,131 and $1,168 as of June 30, 2024 and December 31, 2023,</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25,670</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9"/>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118,492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118,818</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47,680</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03"/>
        </w:trPr>
        <w:tc>
          <w:tcPr>
            <w:tcW w:w="806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168,903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airtime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loss on future firm purchase commitments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other</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24,972</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25,262</w:t>
            </w:r>
          </w:p>
        </w:tc>
        <w:tc>
          <w:tcPr>
            <w:tcW w:w="0" w:type="dxa"/>
            <w:vAlign w:val="bottom"/>
          </w:tcPr>
          <w:p>
            <w:pPr>
              <w:spacing w:after="0"/>
              <w:rPr>
                <w:sz w:val="1"/>
                <w:szCs w:val="1"/>
                <w:color w:val="auto"/>
              </w:rPr>
            </w:pP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2, 11, and 16)</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2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806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Common stock, $0.01 par value. Authorized 30,000,000 shares; 21,170,195 and 21,066,899 shares issued at June 30, 2024 and</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December 31, 2023, respectively; and 19,714,086 and 19,610,790 shares outstanding at June 30, 2024 and December 31, 2023,</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165,140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159,462</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Less: treasury stock at cost, common stock, 1,456,109 shares as of June 30, 2024 and December 31, 2023</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143,378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202"/>
        </w:trPr>
        <w:tc>
          <w:tcPr>
            <w:tcW w:w="806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168,903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earnings per share amounts,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8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r>
      <w:tr>
        <w:trPr>
          <w:trHeight w:val="23"/>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57,486</w:t>
            </w:r>
          </w:p>
        </w:tc>
      </w:tr>
      <w:tr>
        <w:trPr>
          <w:trHeight w:val="22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r>
      <w:tr>
        <w:trPr>
          <w:trHeight w:val="223"/>
        </w:trPr>
        <w:tc>
          <w:tcPr>
            <w:tcW w:w="6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67,729</w:t>
            </w: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31,610</w:t>
            </w: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w:t>
            </w: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r>
      <w:tr>
        <w:trPr>
          <w:trHeight w:val="229"/>
        </w:trPr>
        <w:tc>
          <w:tcPr>
            <w:tcW w:w="6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w:t>
            </w:r>
          </w:p>
        </w:tc>
      </w:tr>
      <w:tr>
        <w:trPr>
          <w:trHeight w:val="223"/>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67,726</w:t>
            </w:r>
          </w:p>
        </w:tc>
      </w:tr>
      <w:tr>
        <w:trPr>
          <w:trHeight w:val="223"/>
        </w:trPr>
        <w:tc>
          <w:tcPr>
            <w:tcW w:w="6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9"/>
        </w:trPr>
        <w:tc>
          <w:tcPr>
            <w:tcW w:w="6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3"/>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income before income tax (benefit)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6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common share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6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19,381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19,333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19,018</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9"/>
        </w:trPr>
        <w:tc>
          <w:tcPr>
            <w:tcW w:w="6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 INCOME</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r>
      <w:tr>
        <w:trPr>
          <w:trHeight w:val="23"/>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6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 comprehensive income, net of tax</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1"/>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Exercise of stock options and issuance of restricted stock awards, net of forfeitures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980" w:type="dxa"/>
            <w:vAlign w:val="bottom"/>
            <w:vMerge w:val="restart"/>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0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Deficit</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58"/>
        </w:trPr>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94"/>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21,205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165,768</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(4,867)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(3,956)</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145,067</w:t>
            </w:r>
          </w:p>
        </w:tc>
        <w:tc>
          <w:tcPr>
            <w:tcW w:w="0" w:type="dxa"/>
            <w:vAlign w:val="bottom"/>
          </w:tcPr>
          <w:p>
            <w:pPr>
              <w:spacing w:after="0"/>
              <w:rPr>
                <w:sz w:val="1"/>
                <w:szCs w:val="1"/>
                <w:color w:val="auto"/>
              </w:rPr>
            </w:pPr>
          </w:p>
        </w:tc>
      </w:tr>
      <w:tr>
        <w:trPr>
          <w:trHeight w:val="18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0" w:type="dxa"/>
            <w:vAlign w:val="bottom"/>
          </w:tcPr>
          <w:p>
            <w:pPr>
              <w:spacing w:after="0"/>
              <w:rPr>
                <w:sz w:val="1"/>
                <w:szCs w:val="1"/>
                <w:color w:val="auto"/>
              </w:rPr>
            </w:pPr>
          </w:p>
        </w:tc>
      </w:tr>
      <w:tr>
        <w:trPr>
          <w:trHeight w:val="193"/>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3"/>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21,170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166,490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(7,243)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(3,991)</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143,378</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-916305</wp:posOffset>
            </wp:positionV>
            <wp:extent cx="71062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-642620</wp:posOffset>
            </wp:positionV>
            <wp:extent cx="710628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-385445</wp:posOffset>
            </wp:positionV>
            <wp:extent cx="7106285"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40"/>
            <w:col w:w="8760"/>
          </w:cols>
          <w:pgMar w:left="360" w:top="763" w:right="359" w:bottom="1440" w:gutter="0" w:footer="0" w:header="0"/>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0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980" w:type="dxa"/>
            <w:vAlign w:val="bottom"/>
            <w:vMerge w:val="restart"/>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Retained Deficit</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59"/>
        </w:trPr>
        <w:tc>
          <w:tcPr>
            <w:tcW w:w="242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4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166,490</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143,378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80" w:type="dxa"/>
            <w:vAlign w:val="bottom"/>
            <w:tcBorders>
              <w:top w:val="single" w:sz="8" w:color="CCEEFF"/>
              <w:bottom w:val="single" w:sz="8" w:color="auto"/>
            </w:tcBorders>
            <w:gridSpan w:val="5"/>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2420" w:type="dxa"/>
            <w:vAlign w:val="bottom"/>
          </w:tcPr>
          <w:p>
            <w:pPr>
              <w:spacing w:after="0"/>
              <w:rPr>
                <w:sz w:val="24"/>
                <w:szCs w:val="24"/>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24"/>
                <w:szCs w:val="2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line="20" w:lineRule="exact"/>
              <w:rPr>
                <w:sz w:val="1"/>
                <w:szCs w:val="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Retained Earnings</w:t>
            </w: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180" w:type="dxa"/>
            <w:vAlign w:val="bottom"/>
            <w:gridSpan w:val="3"/>
            <w:vMerge w:val="continue"/>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20,826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161,779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14,085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(4,031)</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159,951</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20,969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163,690</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14,858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(3,955)</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162,713</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2420" w:type="dxa"/>
            <w:vAlign w:val="bottom"/>
          </w:tcPr>
          <w:p>
            <w:pPr>
              <w:spacing w:after="0"/>
              <w:rPr>
                <w:sz w:val="24"/>
                <w:szCs w:val="24"/>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24"/>
                <w:szCs w:val="2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Retained Earnings</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20,631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160,475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13,718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158,438</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9"/>
        </w:trPr>
        <w:tc>
          <w:tcPr>
            <w:tcW w:w="24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163,690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14,858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162,713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3" w:right="35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ind w:left="478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Loss on disposals of fixed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Compensation expense related to stock-based awards and employee stock purchase plan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Unrealized currency translation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compensation, product warranty and 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(15,457)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(3,186)</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acquisition of intangible asset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14,448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(6,042)</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stock options exercised and employee stock purchase plan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 of finance lease</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2"/>
        </w:trPr>
        <w:tc>
          <w:tcPr>
            <w:tcW w:w="8400" w:type="dxa"/>
            <w:vAlign w:val="bottom"/>
            <w:tcBorders>
              <w:top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2,106</w:t>
            </w:r>
          </w:p>
        </w:tc>
        <w:tc>
          <w:tcPr>
            <w:tcW w:w="0" w:type="dxa"/>
            <w:vAlign w:val="bottom"/>
          </w:tcPr>
          <w:p>
            <w:pPr>
              <w:spacing w:after="0"/>
              <w:rPr>
                <w:sz w:val="1"/>
                <w:szCs w:val="1"/>
                <w:color w:val="auto"/>
              </w:rPr>
            </w:pPr>
          </w:p>
        </w:tc>
      </w:tr>
      <w:tr>
        <w:trPr>
          <w:trHeight w:val="207"/>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(7,048)</w:t>
            </w:r>
          </w:p>
        </w:tc>
        <w:tc>
          <w:tcPr>
            <w:tcW w:w="0" w:type="dxa"/>
            <w:vAlign w:val="bottom"/>
          </w:tcPr>
          <w:p>
            <w:pPr>
              <w:spacing w:after="0"/>
              <w:rPr>
                <w:sz w:val="1"/>
                <w:szCs w:val="1"/>
                <w:color w:val="auto"/>
              </w:rPr>
            </w:pPr>
          </w:p>
        </w:tc>
      </w:tr>
      <w:tr>
        <w:trPr>
          <w:trHeight w:val="214"/>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21,056</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14,008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accrued other and accounts payable related to property and equipment additions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all amounts in thousands except per share amounts)</w:t>
      </w:r>
    </w:p>
    <w:p>
      <w:pPr>
        <w:spacing w:after="0" w:line="230"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43"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KVH Industries, Inc. (together with its subsidiaries, the Company or KVH) designs, develops, manufactures and markets mobile connectivity services and products for the marine and land markets.</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KVH’s service sales primarily represent revenue earned from satellite Internet airtime services. KVH provides, for monthly fixed and per-usage fees, satellite connectivity encompassing broadband Internet and VoIP services, to its TracNet H-series and TracPhone V-HTS series customers via KVH’s global high-throughput satellite (HTS) network. Revenue from our cellular airtime service supplements KVH’s satellite-only airtime revenue following the July 2022 launch of the KVH ONE hybrid network and TracNet H-series terminals. This service and product combination integrates global satellite service with KVH-provided cellular service in more than 150 countries, along with shore-based Wi-Fi access. In March 2023, KVH began selling Starlink terminals and in September 2023 became a Starlink authorized hardware and airtime reseller. The May 2023 introduction of the KVH ONE OpenNet Program expanded access to KVH's global HTS network and airtime services to non-KVH terminals for the first time.</w:t>
      </w:r>
    </w:p>
    <w:p>
      <w:pPr>
        <w:spacing w:after="0" w:line="2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AgilePlans, KVH’s connectivity as a service offering, is a monthly subscription model that provides global connectivity to commercial maritime customers. The subscription can include KVH VSAT terminals and data service, Starlink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the Company offers to customers who elect to purchase or lease a TracNet H-series or TracPhone V-HTS series terminal.</w:t>
      </w:r>
    </w:p>
    <w:p>
      <w:pPr>
        <w:spacing w:after="0" w:line="2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costs on the hardware are expensed in the period these costs are incurred.</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Service sales also include the distribution of commercially licensed entertainment, including news, sports, and movies to commercial customers in the maritime and hotel markets through the KVH Media Group, along with supplemental value-added cybersecurity, email, and crew internet services. In addition, KVH earns monthly usage fees from third-party satellite connectivity services, including VoIP, data and Internet services, provided to its Inmarsat and Iridium customers who choose to activate their subscriptions with KVH. Service sales also include sales from product repairs and extended warranty sales.</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KVH’s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KVH's marine leisure business is highly seasonal. Seasonality can also impact the Company's commercial marine business, although typically to a lesser degree. Temporary suspensions of the Company's airtime services typically increase in the fourth and first quarters of each year as boats are placed out of service during the winter months. Historically, the Company has generated the majority of its marine leisure product revenues during the first and second quarters of each year, and these revenues typically decline in the third and fourth quarters of each year, compared to the first two quarters.</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2025. The Company expects to continue to facilitate customer transition to third-party hardware products compatible with its mobile satellite communications services.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10-K - Revision for Correction of Immaterial Errors</w:t>
      </w:r>
    </w:p>
    <w:p>
      <w:pPr>
        <w:spacing w:after="0" w:line="2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stated in the Company's Annual Report on Form 10-K for the year ended December 31, 2023, which was filed on March 15, 2024, the Company corrected for errors that were immaterial to its previously reported consolidated financial statements. These errors were identified in connection with the preparation of the Company's consolidated financial statements for the year ended December 31, 2023, and related primarily to the adoption and implementation of Accounting Standards Codification (“ASC”) No. 606, Revenue from Contracts with Customers (“ASC 606”) on January 1, 2018, specifically, the assessment of performance obligations associated with the sales of antennas and airtime-related equipment. The Company evaluated the materiality of these errors both qualitatively and quantitatively in accordance with Staff Accounting Bulletin (“SAB”) No. 99, Materiality, and SAB No. 108, Considering the Effects of Prior Year Misstatements When Quantifying Misstatements in Current Year Financial Statements, and determined that the effect of these corrections was not material to the previously issued financial statements. Therefore, the amounts in the previous period have been revised to reflect the correction of these errors.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2023 filed on March 15, 2024 with the Securities and Exchange Commission. The results for the three and six months ended June 30, 2024 are not necessarily indicative of operating results for the remainder of the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Estimates and Assumptions and Other Significant Non-Recurring Transactions</w:t>
      </w:r>
    </w:p>
    <w:p>
      <w:pPr>
        <w:spacing w:after="0" w:line="2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1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Denmark, Singapore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The Company recorded net foreign currency exchange losses, which are comprised of both realized and unrealized foreign currency exchange gains and losses, in its accompanying consolidated statements of operations of $(248) and $(56) for the three months ended June 30, 2024 and 2023, respectively, and $(269) and $(110) for the six months ended June 30, 2024 and 2023, respectively.</w:t>
      </w:r>
    </w:p>
    <w:p>
      <w:pPr>
        <w:spacing w:after="0" w:line="2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the United Kingdom, Brazil,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206"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 and Accounting Standards Not yet Adopted</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are no recent accounting pronouncements that have been issued by the FASB, that are not yet effective and that the Company expects would have a material impact on the Company's financial statements.</w:t>
      </w:r>
    </w:p>
    <w:p>
      <w:pPr>
        <w:spacing w:after="0" w:line="185"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Marketable securities as of June 30, 2024 and December 31, 2023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3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ind w:right="17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marketable securities designated as available-for-sale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marketable securities designated as available-for-sale</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from marketable securities was $706 and $687 during the three months ended June 30, 2024 and 2023, respectively, and $1,426 and $1,275 during the six months ended June 30, 2024 and 2023, respectively.</w:t>
      </w:r>
    </w:p>
    <w:p>
      <w:pPr>
        <w:spacing w:after="0" w:line="185"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 Stock Equity and Incentive Plan</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stock-based compensation in accordance with the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Stock-based compensation expense was $721 and $566, excluding $1 and $12 of compensation charges related to our Amended and Restated 1996 Employee Stock Purchase Plan, or the ESPP, for the three months ended June 30, 2024 and 2023, respectively, and $1,238 and $850, excluding $6 and $24 of compensation shares related to the ESPP, for the six months ended June 30, 2024 and 2023, respectively. As of June 30, 2024, there was $1,614 of total unrecognized compensation expense related to stock options, which is expected to be recognized over a weighted-average period of 2.68 years. As of June 30, 2024, there was $1,881 of total unrecognized compensation expense related to restricted stock awards, which is expected to be recognized over a weighted-average period of 2.76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shares of common stock were issued upon the exercise of stock options. No shares were surrendered to the Company to satisfy minimum tax withholding obligations. Additionally, during the three months ended June 30, 2024, no stock options were granted and 257 stock options expired, were canceled or were forfeited.</w:t>
      </w: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no shares of common stock were issued upon the exercise of stock options. No shares were surrendered to the Company to satisfy minimum tax withholding obligations. Additionally, during the six months ended June 30, 2024, 266 stock options were granted and 271 stock options expired, were canceled or were forfeited. During the six months ended June 30, 2023, 317 stock options were granted. The Company has historically estimated the fair value of each option grant on the date of grant using the Black-Scholes option-pricing model. The weighted average assumptions utilized to determine the fair value of options granted during the six months ended June 30, 2024 and 2023 are as follows:</w:t>
      </w:r>
    </w:p>
    <w:p>
      <w:pPr>
        <w:spacing w:after="0" w:line="5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48.63 %</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43.93 %</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there were 1,225 options outstanding with a weighted average exercise price of $8.64 per share and 599 options exercisable with a weighted average exercise price of $9.84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June 30, 2024, no shares of restricted stock were granted and 35 shares of restricted stock were forfeited.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during the three months ended June 30, 2024, 76 shares of restricted stock vested.</w:t>
      </w:r>
    </w:p>
    <w:p>
      <w:pPr>
        <w:spacing w:after="0" w:line="2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122 shares of restricted stock were granted with a weighted average grant date fair value of $5.03 per share and 43 shares of restricted stock were forfeited. Additionally, during the six months ended June 30, 2024, 142 shares of restricted stock vested.</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no unvested outstanding options and no outstanding shares of restricted stock that were subject to performance-based or market-based vesting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Employee Stock Purchase Plan</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June 30, 2024 and 2023, no shares were issued under the ESPP plan. During the six months ended June 30, 2024 and 2023, 24 and 0 shares were issued under the ESPP plan, respectively. The Company recorded compensation charges related to the ESPP of $1 and $12 for the three months ended June 30, 2024 and 2023, respectively, and $6 and $24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Stock-Based Compensation Expense</w:t>
      </w:r>
    </w:p>
    <w:p>
      <w:pPr>
        <w:spacing w:after="0" w:line="94"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including expense for the ESPP, in the Company's consolidated statements of operations for the six months ended June 30, 2024 and 2023, respectively: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sales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44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r>
      <w:tr>
        <w:trPr>
          <w:trHeight w:val="21"/>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Accumulated Other Comprehensive Loss (AOCL)</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(loss) income.</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balances for the three months ended June 30, 2024 and 2023 are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60" w:type="dxa"/>
            <w:vAlign w:val="bottom"/>
          </w:tcPr>
          <w:p>
            <w:pPr>
              <w:spacing w:after="0"/>
              <w:rPr>
                <w:sz w:val="17"/>
                <w:szCs w:val="17"/>
                <w:color w:val="auto"/>
              </w:rPr>
            </w:pPr>
          </w:p>
        </w:tc>
        <w:tc>
          <w:tcPr>
            <w:tcW w:w="2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w:t>
            </w:r>
          </w:p>
        </w:tc>
        <w:tc>
          <w:tcPr>
            <w:tcW w:w="40" w:type="dxa"/>
            <w:vAlign w:val="bottom"/>
          </w:tcPr>
          <w:p>
            <w:pPr>
              <w:spacing w:after="0"/>
              <w:rPr>
                <w:sz w:val="17"/>
                <w:szCs w:val="17"/>
                <w:color w:val="auto"/>
              </w:rPr>
            </w:pPr>
          </w:p>
        </w:tc>
        <w:tc>
          <w:tcPr>
            <w:tcW w:w="2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 Accumulated 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3"/>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Available for Sale</w:t>
            </w:r>
          </w:p>
        </w:tc>
        <w:tc>
          <w:tcPr>
            <w:tcW w:w="40" w:type="dxa"/>
            <w:vAlign w:val="bottom"/>
          </w:tcPr>
          <w:p>
            <w:pPr>
              <w:spacing w:after="0"/>
              <w:rPr>
                <w:sz w:val="15"/>
                <w:szCs w:val="15"/>
                <w:color w:val="auto"/>
              </w:rPr>
            </w:pPr>
          </w:p>
        </w:tc>
        <w:tc>
          <w:tcPr>
            <w:tcW w:w="2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(3,991)</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60" w:type="dxa"/>
            <w:vAlign w:val="bottom"/>
          </w:tcPr>
          <w:p>
            <w:pPr>
              <w:spacing w:after="0"/>
              <w:rPr>
                <w:sz w:val="24"/>
                <w:szCs w:val="24"/>
                <w:color w:val="auto"/>
              </w:rPr>
            </w:pPr>
          </w:p>
        </w:tc>
        <w:tc>
          <w:tcPr>
            <w:tcW w:w="22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Unrealized Gain (Loss) 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Total Accumulated Other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3"/>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Available for Sale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(4,031)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balances for the six months ended June 30, 2024 and 2023 are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0" w:type="dxa"/>
            <w:vAlign w:val="bottom"/>
          </w:tcPr>
          <w:p>
            <w:pPr>
              <w:spacing w:after="0"/>
              <w:rPr>
                <w:sz w:val="17"/>
                <w:szCs w:val="17"/>
                <w:color w:val="auto"/>
              </w:rPr>
            </w:pPr>
          </w:p>
        </w:tc>
        <w:tc>
          <w:tcPr>
            <w:tcW w:w="22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Unrealized Gain (Loss) on</w:t>
            </w:r>
          </w:p>
        </w:tc>
        <w:tc>
          <w:tcPr>
            <w:tcW w:w="10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Accumulated Other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3"/>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Available for Sale</w:t>
            </w:r>
          </w:p>
        </w:tc>
        <w:tc>
          <w:tcPr>
            <w:tcW w:w="10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tcPr>
          <w:p>
            <w:pPr>
              <w:spacing w:after="0"/>
              <w:rPr>
                <w:sz w:val="19"/>
                <w:szCs w:val="19"/>
                <w:color w:val="auto"/>
              </w:rPr>
            </w:pP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top w:val="single" w:sz="8" w:color="auto"/>
            </w:tcBorders>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00" w:type="dxa"/>
            <w:vAlign w:val="bottom"/>
            <w:tcBorders>
              <w:top w:val="single" w:sz="8" w:color="auto"/>
              <w:bottom w:val="single" w:sz="8" w:color="auto"/>
            </w:tcBorders>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0" w:type="dxa"/>
            <w:vAlign w:val="bottom"/>
          </w:tcPr>
          <w:p>
            <w:pPr>
              <w:spacing w:after="0"/>
              <w:rPr>
                <w:sz w:val="24"/>
                <w:szCs w:val="24"/>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Unrealized (Loss) Gain on</w:t>
            </w:r>
          </w:p>
        </w:tc>
        <w:tc>
          <w:tcPr>
            <w:tcW w:w="2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Accumulated Other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3"/>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Available for Sale</w:t>
            </w:r>
          </w:p>
        </w:tc>
        <w:tc>
          <w:tcPr>
            <w:tcW w:w="2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tcPr>
          <w:p>
            <w:pPr>
              <w:spacing w:after="0"/>
              <w:rPr>
                <w:sz w:val="19"/>
                <w:szCs w:val="19"/>
                <w:color w:val="auto"/>
              </w:rPr>
            </w:pP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top w:val="single" w:sz="8" w:color="auto"/>
            </w:tcBorders>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left="157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per Common Share</w:t>
      </w:r>
    </w:p>
    <w:p>
      <w:pPr>
        <w:spacing w:after="0" w:line="256" w:lineRule="exact"/>
        <w:rPr>
          <w:sz w:val="20"/>
          <w:szCs w:val="20"/>
          <w:color w:val="auto"/>
        </w:rPr>
      </w:pPr>
    </w:p>
    <w:p>
      <w:pPr>
        <w:jc w:val="both"/>
        <w:ind w:firstLine="248"/>
        <w:spacing w:after="0" w:line="258" w:lineRule="auto"/>
        <w:rPr>
          <w:sz w:val="20"/>
          <w:szCs w:val="20"/>
          <w:color w:val="auto"/>
        </w:rPr>
      </w:pPr>
      <w:r>
        <w:rPr>
          <w:rFonts w:ascii="Times New Roman" w:cs="Times New Roman" w:eastAsia="Times New Roman" w:hAnsi="Times New Roman"/>
          <w:sz w:val="18"/>
          <w:szCs w:val="18"/>
          <w:color w:val="auto"/>
        </w:rPr>
        <w:t>Basic net (loss) income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and six months ended June 30, 2024, since there was a net loss, the company excluded all 1,375 and 1,297, respectively, in outstanding stock options and non-vested restricted shares from its diluted loss per share calculation, as inclusion of these convertible securities would have reduced the net loss per share.</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basic and diluted weighted average common shares outstanding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24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48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common shares issuable in connection with stock plans</w:t>
            </w: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(7)</w:t>
        <w:tab/>
        <w:t>Inventories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first-in first-out costing method. Inventories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include the costs of material, labor, and factory overhead. Components of inventories consist of the following: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3"/>
        </w:trPr>
        <w:tc>
          <w:tcPr>
            <w:tcW w:w="6760" w:type="dxa"/>
            <w:vAlign w:val="bottom"/>
          </w:tcPr>
          <w:p>
            <w:pPr>
              <w:spacing w:after="0"/>
              <w:rPr>
                <w:sz w:val="19"/>
                <w:szCs w:val="19"/>
                <w:color w:val="auto"/>
              </w:rPr>
            </w:pP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19,046</w:t>
            </w:r>
          </w:p>
        </w:tc>
      </w:tr>
      <w:tr>
        <w:trPr>
          <w:trHeight w:val="20"/>
        </w:trPr>
        <w:tc>
          <w:tcPr>
            <w:tcW w:w="67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7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Starlink pooled data</w:t>
            </w: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KVH expanded its relationship with Starlink through a bulk data distribution agreement. Under the agreement, KVH prepaid for access to a large block of Starlink Mobile Priority data at favorable rates. The new agreement offers KVH increased flexibility in the development and sales of custom, cost-effective airtime plans using Starlink’s Mobile Priority service. KVH began drawing from this prepaid pooled data in the third quarter of 2024.</w:t>
      </w:r>
    </w:p>
    <w:p>
      <w:pPr>
        <w:spacing w:after="0" w:line="203"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as of June 30, 2024 and December 31, 2023 consist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7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Revenue-generating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60,984</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(55,654)</w:t>
            </w:r>
          </w:p>
        </w:tc>
      </w:tr>
      <w:tr>
        <w:trPr>
          <w:trHeight w:val="223"/>
        </w:trPr>
        <w:tc>
          <w:tcPr>
            <w:tcW w:w="67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47,680</w:t>
            </w:r>
          </w:p>
        </w:tc>
      </w:tr>
      <w:tr>
        <w:trPr>
          <w:trHeight w:val="20"/>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$3,637 and $3,404 for the three months ended June 30, 2024 and 2023, respectively, and $6,784 and $6,772 for the six months ended June 30, 2024 and 2023,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revenue-generating hardware assets are utilized by the Company in the delivery of the Company's airtime services, media and other content.</w:t>
      </w:r>
    </w:p>
    <w:p>
      <w:pPr>
        <w:spacing w:after="0" w:line="2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long-lived tangible assets related to the Company’s international subsidiaries were less than 10% of the Company’s long-lived tangible assets.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left="540" w:hanging="532"/>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Warranty</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June 30, 2024 and December 31, 2023, the Company had accrued product warranty costs of $636 and $828,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product warranty activity during 2024 and 2023:</w:t>
            </w: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7"/>
        </w:trPr>
        <w:tc>
          <w:tcPr>
            <w:tcW w:w="7840" w:type="dxa"/>
            <w:vAlign w:val="bottom"/>
          </w:tcPr>
          <w:p>
            <w:pPr>
              <w:spacing w:after="0"/>
              <w:rPr>
                <w:sz w:val="24"/>
                <w:szCs w:val="24"/>
                <w:color w:val="auto"/>
              </w:rPr>
            </w:pPr>
          </w:p>
        </w:tc>
        <w:tc>
          <w:tcPr>
            <w:tcW w:w="28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60" w:type="dxa"/>
            <w:vAlign w:val="bottom"/>
          </w:tcPr>
          <w:p>
            <w:pPr>
              <w:spacing w:after="0"/>
              <w:rPr>
                <w:sz w:val="24"/>
                <w:szCs w:val="24"/>
                <w:color w:val="auto"/>
              </w:rPr>
            </w:pPr>
          </w:p>
        </w:tc>
      </w:tr>
      <w:tr>
        <w:trPr>
          <w:trHeight w:val="238"/>
        </w:trPr>
        <w:tc>
          <w:tcPr>
            <w:tcW w:w="78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1120" w:type="dxa"/>
            <w:vAlign w:val="bottom"/>
          </w:tcPr>
          <w:p>
            <w:pPr>
              <w:spacing w:after="0"/>
              <w:rPr>
                <w:sz w:val="19"/>
                <w:szCs w:val="19"/>
                <w:color w:val="auto"/>
              </w:rPr>
            </w:pPr>
          </w:p>
        </w:tc>
        <w:tc>
          <w:tcPr>
            <w:tcW w:w="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
        </w:trPr>
        <w:tc>
          <w:tcPr>
            <w:tcW w:w="7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21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42"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212" w:lineRule="exact"/>
        <w:rPr>
          <w:sz w:val="20"/>
          <w:szCs w:val="20"/>
          <w:color w:val="auto"/>
        </w:rPr>
      </w:pPr>
    </w:p>
    <w:p>
      <w:pPr>
        <w:ind w:left="1300" w:hanging="80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that are accessible at the measurement date for identical, unrestricted assets or liabilities. The Company’s Level 1 assets are investments in money market mutual funds.</w:t>
      </w:r>
    </w:p>
    <w:p>
      <w:pPr>
        <w:spacing w:after="0" w:line="189" w:lineRule="exact"/>
        <w:rPr>
          <w:sz w:val="20"/>
          <w:szCs w:val="20"/>
          <w:color w:val="auto"/>
        </w:rPr>
      </w:pPr>
    </w:p>
    <w:p>
      <w:pPr>
        <w:ind w:left="1300" w:hanging="80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or observable prices that are based on observable market data, based on directly or indirectly market-corroborated inputs. The Company has no Level 2 assets or liabilities.</w:t>
      </w:r>
    </w:p>
    <w:p>
      <w:pPr>
        <w:spacing w:after="0" w:line="189" w:lineRule="exact"/>
        <w:rPr>
          <w:sz w:val="20"/>
          <w:szCs w:val="20"/>
          <w:color w:val="auto"/>
        </w:rPr>
      </w:pPr>
    </w:p>
    <w:p>
      <w:pPr>
        <w:ind w:left="1280" w:hanging="809"/>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are developed based on the best information available given the circumstances. The Company has no Level 3 assets.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and liabilities measured at fair value are based on the valuation techniques identified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at June 30, 2024 and December 31, 2023 for which the Company measures fair value on a recurring basis, by level, within the fair value hierarchy: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17"/>
                <w:szCs w:val="17"/>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0" w:type="dxa"/>
            <w:vAlign w:val="bottom"/>
          </w:tcPr>
          <w:p>
            <w:pPr>
              <w:spacing w:after="0"/>
              <w:rPr>
                <w:sz w:val="1"/>
                <w:szCs w:val="1"/>
                <w:color w:val="auto"/>
              </w:rPr>
            </w:pPr>
          </w:p>
        </w:tc>
      </w:tr>
      <w:tr>
        <w:trPr>
          <w:trHeight w:val="203"/>
        </w:trPr>
        <w:tc>
          <w:tcPr>
            <w:tcW w:w="42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Technique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292"/>
        </w:trPr>
        <w:tc>
          <w:tcPr>
            <w:tcW w:w="4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4"/>
                <w:szCs w:val="2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0" w:type="dxa"/>
            <w:vAlign w:val="bottom"/>
          </w:tcPr>
          <w:p>
            <w:pPr>
              <w:spacing w:after="0"/>
              <w:rPr>
                <w:sz w:val="1"/>
                <w:szCs w:val="1"/>
                <w:color w:val="auto"/>
              </w:rPr>
            </w:pPr>
          </w:p>
        </w:tc>
      </w:tr>
      <w:tr>
        <w:trPr>
          <w:trHeight w:val="203"/>
        </w:trPr>
        <w:tc>
          <w:tcPr>
            <w:tcW w:w="42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Technique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Market approach—prices and other relevant information generated by market transactions involving identical or comparable assets.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non-financial assets, such as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six months ended June 30, 2024 or 2023. The Company does not have any liabilities that are recorded at fair value on a non-recurring basis.</w:t>
      </w:r>
    </w:p>
    <w:p>
      <w:pPr>
        <w:spacing w:after="0" w:line="203" w:lineRule="exact"/>
        <w:rPr>
          <w:sz w:val="20"/>
          <w:szCs w:val="20"/>
          <w:color w:val="auto"/>
        </w:rPr>
      </w:pPr>
    </w:p>
    <w:p>
      <w:pPr>
        <w:ind w:left="540" w:hanging="532"/>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Intangible assets with finite lives are reviewed for impairment whenever events or changes in circumstances indicate that the carrying amount of an asset group may not be recoverable. Recoverability of intangible assets is measured by a comparison of the carrying amount of an asset group to its future undiscounted cash flows. If these comparisons indicate that an asset group is not recoverable, the Company will recognize an impairment loss for the amount by which the carrying value of the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during the six months ended June 30, 2024 are as follows:</w:t>
            </w: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6"/>
        </w:trPr>
        <w:tc>
          <w:tcPr>
            <w:tcW w:w="9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9"/>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acquired in asset acquisition</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0"/>
        </w:trPr>
        <w:tc>
          <w:tcPr>
            <w:tcW w:w="9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Intangible assets arose from the purchase of distribution rights from Kognitive Networks Inc. and the purchase of KVH Industries Norway AS. The assets related to the distribution rights with Kognitive Networks are being amortized on a straight-line basis over the estimated useful life of 3 years. The assets related to the purchase of KVH Industries Norway AS for acquired intellectual property are fully amortized.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8"/>
          <w:szCs w:val="18"/>
          <w:i w:val="1"/>
          <w:iCs w:val="1"/>
          <w:color w:val="auto"/>
        </w:rPr>
        <w:t>Business Combinations (Topic 805)-Clarifying the Definition of a Business</w:t>
      </w:r>
      <w:r>
        <w:rPr>
          <w:rFonts w:ascii="Times New Roman" w:cs="Times New Roman" w:eastAsia="Times New Roman" w:hAnsi="Times New Roman"/>
          <w:sz w:val="18"/>
          <w:szCs w:val="18"/>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Acquired intangible assets are subject to amortization. The following table summarizes acquired intangible assets at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respectively:</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7"/>
                <w:szCs w:val="17"/>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$101 and $55 for the three months ended June 30, 2024 and 2023, respectively, and $201 and $148 for the six months ended June 30, 2024 and 2023, respectively. Amortization expense was categorized as general and administrative expense.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the total weighted average remaining useful lives of the definite-lived intangible assets was 2.5 years.</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recorded by the Company at June 30, 2024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790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vMerge w:val="continue"/>
            <w:shd w:val="clear" w:color="auto" w:fill="CCEEFF"/>
          </w:tcPr>
          <w:p>
            <w:pPr>
              <w:spacing w:after="0"/>
              <w:rPr>
                <w:sz w:val="17"/>
                <w:szCs w:val="17"/>
                <w:color w:val="auto"/>
              </w:rPr>
            </w:pPr>
          </w:p>
        </w:tc>
        <w:tc>
          <w:tcPr>
            <w:tcW w:w="790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76"/>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9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1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9540" w:type="dxa"/>
            <w:vAlign w:val="bottom"/>
            <w:gridSpan w:val="10"/>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net sales from contracts with customers for the six months ended June 30, 2024 and 2023:</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1"/>
        </w:trPr>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7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4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 over time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57,486</w:t>
            </w:r>
          </w:p>
        </w:tc>
      </w:tr>
      <w:tr>
        <w:trPr>
          <w:trHeight w:val="229"/>
        </w:trPr>
        <w:tc>
          <w:tcPr>
            <w:tcW w:w="4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 point in time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r>
      <w:tr>
        <w:trPr>
          <w:trHeight w:val="248"/>
        </w:trPr>
        <w:tc>
          <w:tcPr>
            <w:tcW w:w="4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67,729</w:t>
            </w:r>
          </w:p>
        </w:tc>
      </w:tr>
      <w:tr>
        <w:trPr>
          <w:trHeight w:val="20"/>
        </w:trPr>
        <w:tc>
          <w:tcPr>
            <w:tcW w:w="4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marine and land mobile markets, among other factors. Performance in any particular period could be impacted by the timing of sales to certain large customers.</w:t>
      </w:r>
    </w:p>
    <w:p>
      <w:pPr>
        <w:spacing w:after="0" w:line="21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offers a comprehensive family of mobile satellite antenna services and products that provide access to the Internet, television, and VoIP services while on the move. Product sales accounted for 14% of the Company's consolidated net sales for both the three months ended June 30, 2024 and 2023 and 14% and 15% of the Company's consolidated net sales for the six months ended June 30, 2024 and 2023, respectively. Service sales of VSAT Broadband airtime service accounted for 74% and 80% of the Company's consolidated net sales for the three months ended June 30, 2024 and 2023, respectively, and 76% and 80% of the Company's consolidated net sales for the six months ended June 30, 2024 and 2023, respectively. The balance of service sales is comprised of distribution of commercially licensed entertainment and news, product repairs, and extended warranty sales.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other single product class accounts for 10% or more of the Company's consolidated net sales.</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71% and 67% of consolidated net sales for the three months ended June 30, 2024 and 2023, respectively, and 72% and 66% of consolidated net sales for the six months ended June 30, 2024 and 2023, respectively. Sales to Singapore customers represented 20% and 19% of the Company's consolidated net sales for the three months ended June 30, 2024 and 2023, respectively. No other individual foreign country represented 10% or more of the Company's consolidated net sales for the three months ended June 30, 2024 or 2023. Sales to Singapore customers represented 21% and 18% of the Company's consolidated net sales for the six months ended June 30, 2024 and 2023, respectively. No other individual foreign country represented 10% or more of the Company's consolidated net sales for the six months ended June 30, 2024 or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Credit Concentrations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 single customer accounted for 10% or more of consolidated net sales for the six months ended June 30, 2024 or 2023. One customer accounted for approximately 21% and 23% of accounts receivable at June 30, 2024 and December 31, 2023, respectively. One customer accounted for 57% and 62% of long-term accounts receivable included in other non-current assets on the consolidated balance sheets related to sales-type leases at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99"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June 30, 2024 was 0.1% and (1.4)%, respectively, compared with 5.6% and 5.3%, for the corresponding periods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had reserves for uncertain tax positions of $712 and $673, respectively. There were no material changes during the six months ended June 30, 2024 to the Company’s reserve for uncertain tax positions. The Company estimates that it is reasonably possible that the balance of unrecognized tax benefits as of June 30, 2024 may decrease $27 in the next twelve months as a result of a lapse of statutes of limitations and settlements with taxing authorities.</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2020,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ind w:left="540" w:hanging="532"/>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office facilities, equipment, and satellite service capacity and related equipment. Lease expense was $366 and $422 for the three months ended June 30, 2024 and 2023, respectively, and $719 and $874 for the six months ended June 30, 2024 and 2023, respectively. Short-term operating lease costs were $20 and $15 for the three months ended June 30, 2024 and 2023, respectively, and $39 and $40 for the six months ended June 30, 2024 and 2023, respectively. Maturities of lease liabilities as of June 30, 2024 under operating leases having an initial or remaining non-cancelable term of one year or more are as follows: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687</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1,467</w:t>
            </w:r>
          </w:p>
        </w:tc>
      </w:tr>
      <w:tr>
        <w:trPr>
          <w:trHeight w:val="270"/>
        </w:trPr>
        <w:tc>
          <w:tcPr>
            <w:tcW w:w="8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net minimum operating lease payments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1,385</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installments of obligation under current-operating lease liabilities</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964</w:t>
            </w:r>
          </w:p>
        </w:tc>
      </w:tr>
      <w:tr>
        <w:trPr>
          <w:trHeight w:val="248"/>
        </w:trPr>
        <w:tc>
          <w:tcPr>
            <w:tcW w:w="8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under long-term operating lease liabilities, excluding current installments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421</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leases with certain customers primarily for the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current portion of the net investment in these leases was $3,326 as of June 30, 2024 and the non-current portion of the net investment in these leases was $2,995 as of June 30, 2024.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$117 and $174 during the three months ended June 30, 2024 and 2023, respectively, and $246 and $342 during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tbl>
      <w:tblPr>
        <w:tblLayout w:type="fixed"/>
        <w:tblInd w:w="40" w:type="dxa"/>
        <w:tblCellMar>
          <w:top w:w="0" w:type="dxa"/>
          <w:left w:w="0" w:type="dxa"/>
          <w:bottom w:w="0" w:type="dxa"/>
          <w:right w:w="0" w:type="dxa"/>
        </w:tblCellMar>
      </w:tblPr>
      <w:tr>
        <w:trPr>
          <w:trHeight w:val="234"/>
        </w:trPr>
        <w:tc>
          <w:tcPr>
            <w:tcW w:w="8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future undiscounted cash flows from these leases as of June 30, 2024 are:</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70"/>
        </w:trPr>
        <w:tc>
          <w:tcPr>
            <w:tcW w:w="8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between undiscounted cash flows and discounted cash flows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0"/>
        </w:trPr>
        <w:tc>
          <w:tcPr>
            <w:tcW w:w="8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2021, the Company began entering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 gross costs and accumulated depreciation associated with these operating leases are included in revenue generating assets and amounted to $1,861 and $1,080, respectively. They are depreciated on a straight-line basis over a five-year estimated useful life. Depreciation expense for these assets was $94 and $188 for the three and six months ended June 30, 2024, respectively.</w:t>
      </w:r>
    </w:p>
    <w:p>
      <w:pPr>
        <w:spacing w:after="0" w:line="20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revenue recognized was $91 and $217 for the three and six months ended June 30, 2024, respectively, in service sales in the consolidated statements of operations.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 June 30, 2024, minimum future lease payments to be recognized on the operating leases are as follows:</w:t>
            </w: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8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43"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22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at the Middletown facility by the end of 2025. The Company expects to continue to facilitate customer transition to third-party hardware products compatible with the Company’s mobile satellite communications services. The Company also plans to continue to conduct maintenance, service, warehousing, shipping and receiving activities at the Middletown location.</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part of this restructuring, the Company reduced its headcount by approximately 75 employees, or approximately 20% of its total workforce as of the time the Company announced the restructuring. As of June 30, 2024, all employee terminations were completed. During the three and six months ended June 30, 2024, the Company incurred $1.2 million and $3.4 million, respectively, of severance charges for this restructuring. The $3.4 million of severance charges incurred during the six months ended June 30, 2024 consisted of approximately $3.0 million of cash charges and approximately $0.3 million of non-cash charges arising from pre-existing contractual obligations to accelerate vesting of certain outstanding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ind w:right="110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Introduction</w:t>
      </w:r>
    </w:p>
    <w:p>
      <w:pPr>
        <w:spacing w:after="0" w:line="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annual report on Form 10-K for the year ended December 31, 2023.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to mobile users at sea and on land. We are also a leading provider of commercially licensed entertainment, including news, sports, music, and movies, to commercial customers in the maritime and hotel markets, along with supplemental value-added cybersecurity, email, and crew internet services.</w:t>
      </w:r>
    </w:p>
    <w:p>
      <w:pPr>
        <w:spacing w:after="0" w:line="2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generate a substantial majority of our revenues from sales of satellite Internet airtime services. We provide, for monthly fixed fees and per-usage fees, satellite connectivity encompassing broadband Internet, data and VoIP services, to customers via our global HTS network. In mid-2022, we launched our KVH ONE hybrid network, which integrates global satellite service, including Ku-band VSAT using the Intelsat HTS network along with Starlink, Iridium, and other satellite services, with KVH-provided cellular service in more than 150 countries and shore-based Wi-Fi access. Revenue from our cellular airtime service has supplemented, and we expect will continue to supplement, our satellite-only airtime revenue. In addition, we earn monthly usage fees from sales of third-party satellite connectivity for VoIP, data and Internet services to our Inmarsat, Iridium, and Starlink customers who choose to activate their subscriptions with us. In March 2023, we began selling Starlink terminals and in September 2023 became a Starlink authorized hardware and airtime reseller. We expect to earn usage fees from OneWeb service upon the launch of that service, which we currently anticipate will occur late in the third quarter of 2024. We also generate service revenue from product repairs and extended warranty sales.</w:t>
      </w:r>
    </w:p>
    <w:p>
      <w:pPr>
        <w:spacing w:after="0" w:line="21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service sales also include the distribution of entertainment, including news, sports, music, and movies, to commercial customers in the maritime and hotel markets through KVH Media Group, along with supplemental value-added services.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Historically, our Ku-band VSAT communications service has been the primary driver of growth. However, these services represent a declining percentage of our revenues in the face of competition from emerging LEO services. Our satellite-only and hybrid products enable marine customers to receive data, VoIP, and value-added services via satellite, cellular, and shore-based Wi-Fi networks onboard commercial, leisure, and military/government vessels. In addition, our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w:t>
      </w:r>
    </w:p>
    <w:p>
      <w:pPr>
        <w:spacing w:after="0" w:line="2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2025. We expect to continue to facilitate customer transition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third-party hardware products compatible with our mobile satellite communications services. We also plan to continue to conduct maintenance, service, warehousing, shipping and receiving activities at the Middletown location.</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part of this restructuring, we reduced our headcount by approximately 75 employees, or approximately 20% of our total workforce as of the time we announced the restructuring. As of June 30, 2024, all employee terminations were completed. During the three and six months ended June 30, 2024, we incurred $1.2 million and $3.4 million, respectively, of severance charges for this restructuring. The $3.4 million of severance charges incurred during the six months ended June 30, 2024 consisted of approximately $3.0 million of cash charges and approximately $0.3 million of non-cash charges arising from pre-existing contractual obligations to accelerate vesting of certain outstanding equity compensation awards.</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we expanded our relationship with Starlink through a bulk data distribution agreement. Under the agreement, we prepaid $17.0 million for access to a large block of Starlink Mobile Priority data at favorable rates. The new agreement offers us increased flexibility in the development and sale of custom airtime plans using Starlink’s Mobile Priority service.</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marine leisure business has been highly seasonal, and seasonality can also impact our commercial marine business. Temporary suspensions of our airtime services typically increase in the third and fourth quarters of each year as boats are placed out of service during the winter months. Historically, we have generated the majority of our marine leisure product revenues during the first and second quarters of each year, and these revenues typically decline in the third and fourth quarters of each year, compared to the first two quarters.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2023.</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Critical accounting estimates are those estimates made that involve a significant level of estimation uncertainty and have had or are reasonably likely to have an impact on our statement of operations. We believe that our accounting estimates for intangible assets and other long-lived assets are the only estimates critical to an understanding and evaluation of our financial results for the six months ended June 30, 2024, as discussed below.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for the periods indicated, certain financial data relating to our operations expressed as a percentage of net sales: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336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9"/>
        </w:trPr>
        <w:tc>
          <w:tcPr>
            <w:tcW w:w="5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56"/>
        </w:trPr>
        <w:tc>
          <w:tcPr>
            <w:tcW w:w="4120" w:type="dxa"/>
            <w:vAlign w:val="bottom"/>
            <w:tcBorders>
              <w:top w:val="single" w:sz="8" w:color="CCEEFF"/>
            </w:tcBorders>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(Loss) income before income tax (benefit)</w:t>
            </w:r>
          </w:p>
        </w:tc>
        <w:tc>
          <w:tcPr>
            <w:tcW w:w="10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expense</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gridSpan w:val="2"/>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and 2023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Our net sales for the three months ended June 30, 2024 and 2023 were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June</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w:t>
            </w:r>
          </w:p>
        </w:tc>
        <w:tc>
          <w:tcPr>
            <w:tcW w:w="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(4,072)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(4,913)</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sales decreased by $4.9 million, or 15%, for the three months ended June 30, 2024 as compared to the three months ended June 30, 2023. Service sales decreased by $4.1 million, or 14%, to $24.7 million for the three months ended June 30, 2024 from $28.7 million for the three months ended June 30, 2023. The decrease was primarily due to a $5.6 million decrease in our VSAT service sales driven primarily by a decrease in subscribers, partially offset by a $1.7 million increase in Starlink service sales. Alternative solutions offered by recent low-earth-orbit (LEO) entrants have heightened competition in the global leisure segment as well as in commercial and government markets. Subscribers to Starlink terminals have approximately doubled from March 31, 2024 to June 30, 2024. We expect that VSAT service sales will continue to decline while Starlink services sales will continue to grow.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expect that the trend of intensifying competition from LEO satellite service providers will continue and that our quarterly revenues from VSAT service sales will continue to decline on a year-over-year basis. It is possible that the rate of reduction will accelerate. We anticipate that a key driver of the expected reduction in revenue will be an acceleration of the previously disclosed transition by one of our largest customers, the U.S. Coast Guard, of its primary satellite service relationship to Starlink. As a result of the accelerated transition, the anticipated decline in revenue from this customer will occur earlier, reducing the aggregate amount of revenue we expect to receive from this customer in 2024. We anticipate that this decline will begin in the third or fourth quarter of 2024.</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sales decreased by $0.8 million, or 17%, to $4.0 million for the three months ended June 30, 2024 from $4.8 million for the three months ended June 30, 2023. The decrease in product sales was primarily due to a $1.1 million decrease in VSAT Broadband product sales, a $0.6 million decrease in TracVision product sales and a $0.3 million decrease in accessory product sales, partially offset by a $1.2 million increase in Starlink product sales. The decline in product sales was primarily due to a decrease in unit sales volume. Competition from low-cost alternatives to VSAT, which include streaming capabilities, has had a significant impact on sales of both TracVision and VSAT Broadband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Costs of sales consists of costs of service sales and costs of product sales. Costs of sales decreased by $2.0 million, or 9%, in the three months ended June 30, 2024 to $19.8 million from $21.8 million in the three months ended June 30, 2023. The decrease in costs of sales was driven by a $1.9 million decrease in costs of product sales and a $0.1 million decrease in costs of service sales. As a percentage of net sales, costs of sales were 69% and 65% for the three months ended June 30, 2024 and 2023, respectively.</w:t>
      </w:r>
    </w:p>
    <w:p>
      <w:pPr>
        <w:spacing w:after="0" w:line="2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June 30, 2024, costs of service sales remained flat period-over-period at $15.5 million for both the three months ended June 30, 2024 and 2023, primarily due to a $1.6 million decrease in VSAT Broadband airtime costs of service sales, partially offset by a $1.3 million increase in Starlink airtime costs of service sales. As a percentage of service sales, costs of service sales were 63% and 54% for the three months ended June 30, 2024 and 2023, respectively. During the second quarter of 2024, we expanded our relationship with Starlink through a bulk data distribution agreement whereby we purchased access to a large block of data at favorable rates. Although we expect that future margins on sales of Starlink airtime services will be slightly lower than current margins on sales of our VSAT Broadband airtime services, we expect that the opportunities provided under the agreement will result in improved profitability compared to the previous arrangement with Starlink.</w:t>
      </w:r>
    </w:p>
    <w:p>
      <w:pPr>
        <w:spacing w:after="0" w:line="21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costs of product sales consist primarily of materials, manufacturing overhead, and direct labor used to produce our products. For the three months ended June 30, 2024, costs of product sales decreased by $1.9 million, or 31%, to $4.3 million from $6.2 million in the three months ended June 30, 2023, primarily due to a $1.7 million decrease in various manufacturing and other unabsorbed expenses, which primarily consists of labor, purchase price variance, excess and obsolescence write down, absorption and severance costs, a $0.8 million decrease in VSAT Broadband cost of product sales and a $0.5 million decrease in TracVision cost of product sales, partially offset by a $1.1 million increase in Starlink product sales. As a percentage of product sales, costs of product sales were 108% and 128% for the three months ended June 30, 2024 and 2023, respectively. Cost of product sales decreased as a percentage of product sales primarily due to improved purchase price variance and improved absorption driven by the reduction in headcount of manufacturing employees, as well as ramped up production required to achieved targeted inventory levels before completion of the staged wind-down.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June 30, 2024 decreased by $0.1 million, or 4%, to $2.3 million from $2.4 million for the three months ended June 30, 2023. During the three months ended June 30, 2024, we incurred $0.3 million in costs related to the reduction in our workforce beginning in February 2024, which was more than offset by various cost savings, including a $0.2 million decrease in other salaries, benefits and taxes. As a percentage of net sales, research and development expense was 8% and 7% for the three months ended June 30, 2024 and 2023,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June 30, 2024 increased by $0.2 million, or 4%, to $5.3 million from $5.1 million for the three months ended June 30, 2023. The increase primarily resulted from a $0.4 million increase in bad debt expense and a $0.3 million increase in salaries, benefits and taxes, partially offset by a $0.2 million decrease in facilities expenses. As a percentage of net sales, sales, marketing and support expense was 19% and 15% for the three months ended June 30, 2024 and 2023, respectively.</w:t>
      </w:r>
    </w:p>
    <w:p>
      <w:pPr>
        <w:spacing w:after="0" w:line="2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June 30, 2024 remained flat period-over-period at $4.1 million for both the three months ended June 30, 2024 and 2023. During the three months ended June 30, 2024, we incurred $0.3 million in costs related to the reduction in our workforce beginning in February 2024, which was offset by a $0.4 million decrease in other salaries, benefits and taxes. As a percentage of net sales, general and administrative expense was 14% and 12% for the three months ended June 30, 2024 and 2023,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Interest income represents interest earned on our cash and cash equivalents, as well as from investments and our sale-type lease receivables. Interest income remained flat period-over-period at $0.9 million for both the three months ended June 30, 2024 and 2023. Of the current period interest income of $0.9 million, $0.8 million is attributable to interest earned on cash and cash equivalents, while the remaining $0.1 million was attributable to interest from lease receivables. Other expense, net increased by $0.1 million to $0.4 million for the three months ended June 30, 2024 from other expense, net of $0.2 million for the three months ended June 30,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 (benefit) expense for each of the three months ended June 30, 2024 and 2023 was less than $0.1 million and related to taxes on income earned in foreign jurisdictions.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net sales for the six months ended June 30, 2024 and 2023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6"/>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vMerge w:val="continue"/>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49,712</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6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sales decreased by $9.8 million, or 14%, for the six months ended June 30, 2024 as compared to the six months ended June 30, 2023. Service sales decreased by $7.8 million, or 14%, to $49.7 million for the six months ended June 30, 2024 from $57.5 million for the six months ended June 30, 2023. The decrease was primarily due to a $9.7 million decrease in our VSAT service sales driven primarily by a decrease in subscribers, partially offset by a $2.3 million increase in Starlink service sales. Alternative solutions offered by recent LEO entrants have heightened competition in the global leisure segment and in commercial and government markets.</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sales decreased by $2.0 million, or 20%, to $8.2 million for the six months ended June 30, 2024 from $10.2 million for the six months ended June 30, 2023. The decrease in product sales was primarily due to a $2.4 million decrease in VSAT Broadband product sales, a $1.4 million decrease in TracVision product sales and a $0.5 million decrease in accessory product sales, partially offset by a $2.6 million increase in Starlink product sales. The decline in product sales was primarily due to a decrease in unit sales volume. Competition from low-cost alternatives to VSAT, which include streaming capabilities, has had a significant impact on sales of both TracVision and VSAT Broadband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Costs of sales decreased by $4.0 million, or 9%, in the six months ended June 30, 2024 to $39.1 million from $43.1 million in the six months ended June 30, 2023. The decrease in costs of sales was driven by a $2.1 million decrease in costs of service sales and a $1.9 million decrease in costs of product sales. As a percentage of net sales, costs of sales were 68% and 64% for the six months ended June 30, 2024 and 2023, respectively.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costs of service sales decreased by $2.1 million, or 7%, to $29.5 million from $31.6 million for the six months ended June 30, 2023, primarily due to a $4.1 million decrease in VSAT Broadband airtime costs of service sales, partially offset by a $1.8 million increase in Starlink airtime costs of service sales. As a percentage of service sales, costs of service sales were 59% and 55% for the six months ended June 30, 2024 and 2023, respectively.</w:t>
      </w:r>
    </w:p>
    <w:p>
      <w:pPr>
        <w:spacing w:after="0" w:line="2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2024, costs of product sales decreased by $1.9 million, or 17%, to $9.6 million from $11.5 million in the six months ended June 30, 2023, primarily due to a $1.4 million decrease in various manufacturing and other unabsorbed expenses, which primarily consists of labor, purchase price variance, excess and obsolescence write down, absorption and severance costs, a $1.4 million decrease in VSAT Broadband cost of product sales, a $1.1 million decrease in TracVision cost of product sales and a $0.3 million decrease in accessory cost of product sales, partially offset by a $2.4 million increase in Starlink cost of product sales. As a percentage of product sales, costs of product sales were 117% and 113% for the six months ended June 30, 2024 and 2023, respectively. Cost of product sales increased as a percentage of product sales primarily due to lower product sales volume, as well as the under-utilization of the factory and severance costs for manufacturing employees, partially offset by the improved purchase price variance.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six months ended June 30, 2024 increased by $0.4 million, or 8%, to $5.4 million from $5.0 million for the six months ended June 30, 2023. The increase in research and development expense resulted primarily from a $0.7 million increase in salaries, benefits and taxes, which was driven by $1.1 million in costs related to the reduction in our workforce beginning in February 2024. As a percentage of net sales, research and development expense was 9% and 7% for the six months ended June 30, 2024 and 2023, respectively.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marketing and support expense for the six months ended June 30, 2024 decreased by $0.1 million, or 1%, to $10.7 million from $10.8 million for the six months ended June 30, 2023. The decrease in sales, marketing and support expense resulted primarily from a $0.2 million decrease in facilities expenses, a $0.2 million decrease in external commissions and a $0.2 million decrease in marketing expenses. These decreases were partially offset by $0.4 million in costs related to the reduction in our workforce beginning in February 2024. As a percentage of net sales, sales, marketing and support expense was 19% and 16% for the six months ended June 30, 2024 and 2023, respectively.</w:t>
      </w:r>
    </w:p>
    <w:p>
      <w:pPr>
        <w:spacing w:after="0" w:line="21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for the six months ended June 30, 2024 increased by $0.7 million, or 7%, to $9.4 million from $8.8 million for the six months ended June 30, 2023. The increase in general and administrative expense resulted primarily from a $1.1 million increase in salaries, benefits and taxes, which was driven by $0.9 million in costs related to the reduction in our workforce beginning in February 2024, and a $0.7 million reduction in reimbursements made by EMCORE for expenses incurred under the transition services agreement relating to the sale of the inertial navigation business in August 2022. Partially offsetting these items was a $1.0 million decrease in professional fees, related to a decrease in legal fees, as well as additional accounting and consulting costs incurred during the six months ended June 30, 2023 to prepare our 2022 annual filings. Lastly, there was a $0.3 million decrease in software license and maintenance fees. As a percentage of net sales, general and administrative expense was 16% and 13% for the six months ended June 30, 2024 and 2023,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income increased by $0.1 million to $1.8 million for the six months ended June 30, 2024 from $1.7 million for the six months ended June 30, 2023. Of the current period interest income of $1.8 million, $1.5 million is attributable to interest earned on cash and cash equivalents, and $0.2 million was attributable to interest from lease receivables. Other expense, net increased by $0.1 million to $0.6 million for the six months ended June 30, 2024 from other expense, net $0.5 million for the six months ended June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Income tax expense for each of the six months ended June 30, 2024 and 2023 was $0.1 million and related to taxes on income earned in foreign jurisdictions.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cash flows from operations, bank financings and proceeds received from exercises of stock options and the issuance of stock.</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9, 2022, we sold our inertial navigation business to EMCORE Corporation for net proceeds of $54.9 million, less specified deductions.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we had $49.3 million in cash, cash equivalents, and marketable securities, of which $3.3 million in cash and cash equivalents was held in local currencies by our foreign subsidiaries. Our foreign subsidiaries held no marketable securities as of June 30, 2024. As of June 30, 2024, we had $93.4 million in working capital.</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8" w:name="page29"/>
    <w:bookmarkEnd w:id="28"/>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used in operations was $15.5 million for the six months ended June 30, 2024 compared to net cash used in operations of $3.2 million for the six months ended June 30, 2023. The $12.3 million increase in net cash used in operations was primarily the result of a $15.6 million increase in cash outflows relating to prepaid expenses and other current assets, a $6.7 million increase in net loss, a $2.3 million decrease in cash inflows relating to accounts receivable, a $2.2 million increase in cash outflows relating to inventories, and a $0.4 million decrease in cash inflows relating to deferred revenue, partially offset by a $13.1 million decrease in cash outflows related to accounts payable and a $1.7 million increase in non-cash items.</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$14.4 million for the six months ended June 30, 2024 compared to net cash used in investing activities of $6.0 million for the six months ended June 30, 2023. The $20.5 million change in net cash provided by investing activities was primarily the result of a $20.8 million decrease in net investment in marketable securities, partially offset by a $0.4 million increase in capital expenditures.</w:t>
      </w:r>
    </w:p>
    <w:p>
      <w:pPr>
        <w:spacing w:after="0" w:line="203"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six months ended June 30, 2024 compared to net cash provided by financing activities of $2.1 million for the six months ended June 30, 2023. The $2.0 million decrease in net cash provided by financing activities is primarily attributable to a $2.3 million decrease in cash inflows relating to proceeds from the exercise of stock options and purchases under our employee stock purchase plan, partially offset by a $0.2 million decrease in cash outflows related to the repurchase of common stock to satisfy specific tax withholding obligations arising from accelerated vesting of executive stock grants in 2023.</w:t>
      </w:r>
    </w:p>
    <w:p>
      <w:pPr>
        <w:spacing w:after="0" w:line="2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evaluated the effectiveness of our disclosure controls and procedures as of June 30, 2024, the end of the period covered by this interim report. Based on that evaluation, our Chief Executive Officer and Chief Financial Officer concluded that our disclosure controls and procedures were effective as of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Changes in Internal Control over Financial Reporting</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evaluated changes in our internal control over financial reporting that occurred during the second quarter of 2024. Based on that evaluation, our Chief Executive Officer and Chief Financial Officer did not identify any change in our internal control over financial reporting during the second quarter of 2024 that has materially affected, or is reasonably likely to materially affect, our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Considerations</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financial performance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and achieving sustained profitability may take longer than we anticipate or may not be achievable.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substantial losses from continuing operations in the first half of 2024 and in each of the last four fiscal years (notwithstanding the income we recognized in 2022 from the sale of the inertial navigation business and in 2021 from the forgiveness of the PPP Loan). Although our continuing operations were profitable in the fourth quarter of 2022 and second quarter of 2023, we may continue to incur losses as we face increasingly stiff competition. Our recent restructuring, workforce reduction and other cost-reduction measures may be insufficient to offset recent and accelerating reductions in our revenues. Recent inflation in the prices of goods and services, including wages, has also hampered our ability to improve profitability. In order to maintain and improve our competitive position, generate revenue and achieve sustained profitability, we must overcome recent reductions in our airtime subscriber base, reduce our bandwidth costs, and continue to introduce new and improved solutions. Our inability to accomplish any of these goals could have a material adverse effect on our revenues, profitability and cash flow, and we cannot assure you when, or whether, we will regain sustained profitability.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losses may increase if we are unable to effectively adapt to changes in our business and industry.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traditional geosynchronous satellite communications industry is experiencing significant disruption arising from customers’ rapid transition to less expensive LEO services, including Starlink, as well as increased reliance on other forms of data transmission, including Wi-Fi and cellular data services. Like others in our industry, we are experiencing reduced demand for our traditional satellite communications services and products, which we expect will continue. Although we are adapting to this transition by becoming an authorized reseller of Starlink, OneWeb and cellular data services and related products, there can be no assurance that we will generate the same level of revenue or gross margin from these sources that we derived from sales of VSAT airtime and related products. Moreover, our VSAT services require a separate infrastructure, which generates certain costs that are relatively fixed for a period of time. As customers transition away from VSAT services, our remaining VSAT services become less profitable and may eventually become insufficiently profitable to continue. If we are unable to efficiently operate both VSAT and LEO services and cost-effectively manage the ongoing transition to the latter, the expenses we incur may exceed associated revenues and thereby increase our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Fluctuations in our quarterly net sales and results of operations could depress the market price of our common stock.</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quarterly net sales and results of operations could continue to vary significantly for various reasons, many of which are outside our control. For example, service sales declined 14% in the second quarter of 2024 compared to the second quarter of 2023, and product sales declined 48% in the fourth quarter of 2023 compared to the fourth quarter of 2022.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the impact of competition and resulting changes in demand for our products and services; delays in order fulfillment, including as a result of shortages of components and raw materials; the mix of services and products we sell, including the mix of fixed rate and metered contracts for airtime services; our ability to manufacture, test and deliver products in a timely and cost-effective manner; the timing of new service and product introductions by us or our competitors; the scope and success of our investments in research and development; expenses incurred in pursuing acquisitions and investments; expenses incurred in expanding, maintaining, or improving our global HTS network; market and competitive pricing pressures; unanticipated charges or expenses, such as the aggregate $6.0 million impairment charges to goodwill and long-lived assets we recorded in the third quarter of 2023; the $5.2 million charge related to the inventory write-down, the $3.6 million provision for excess purchase order obligations and the $2.1 million charge for the discontinuation of a project for implementing a new manufacturing-centric accounting system that we recorded in the fourth quarter of 2023; expenses incurred in responding to stockholder activism; general economic climate; seasonality of pleasure boat and recreational vehicle usage; and the impact of supply chain disruptions.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large portion of our expenses, including expenses for network infrastructure, facilities, equipment, and personnel, are relatively fixed. If our net sales continue to decline, our operating margins will also likely decline. Any failure to achieve anticipated net sales could therefore significantly harm our operating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material increase in sales of third-party airtime services and products could reduce our gross margins and our profitability.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margin percentage from our VSAT airtime services in most cases significantly exceeds the gross margin percentage from other third-party products and airtime services. To the extent that the mix of airtime services we sell shifts away from VSAT services, our gross profit dollars may decline, perhaps materially, if we are unable to significantly increase revenue on non-VSAT airtime services, which may reduce our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planned transition to reliance on third-party hardware products may be unsuccessful.</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which was driven by reduced demand for our hardware products in the face of intensifying competition. We plan to discontinue our capital-intensive manufacturing activities by the end of 2025 and concentrate instead on growing sales of our multi-orbit, multi-channel, integrated communications solutions, including a transition to rely increasingly, and eventually exclusively, on third-party hardware compatible with our solutions. This multi-year strategy entails significant risks, including the loss of competitive differentiation as a leading manufacturer of award-winning products, the potentially irreversible loss of manufacturing expertise and know-how, increased dependence on third-party manufacturers and suppliers, the loss of control over technological innovations and improvements, significantly lower profit margins on third-party product resales, potential technological incompatibility with third-party hardware, potential additional significant provisions for excess and obsolete inventory and other charges, unanticipated expenses, and increased competition for service customers from product manufacturers. If we were to experience a resurgence in demand for our current products, we may be unable to restart internal production or to engage a third party to reliably manufacture and deliver them on time and at an affordable cost. Accordingly, this strategic transition entails meaningful execution risk, particularly in light of our recently announced reduction-in-force and the resulting loss of experienced employees. The failure to implement a successful transition to a new business model based upon third-party hardware would have a material adverse effect on our business, revenues and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Our future success will depend in part on the services of our executive officers and key employees.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future success depends to a significant degree on the skills and efforts of our executive officers and key employees. Our United States based executive officers and key employees are at-will employees, competition is intense for senior management,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cannot effectively manage changes in our business and continue to attract and retain skilled personnel, our business may suffer.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cannot adjust expenses in response to changes in our operations, our results of operations may be harmed. For example, the relatively fixed costs associated with our manufacturing operations prevented us from reducing those costs quickly in response to recent, rapid reductions in demand, resulting in negative product margins. To manage changes in our business effectively, we must, among other things, successfully complete the wind-down of our manufacturing operations, including correctly estimating the number of units to produce; secure appropriate satellite capacity to match demand for airtime services; manage our inventory more effectively, particularly in light of the substantial provision for excess and obsolete inventory that we recorded in the fourth quarter of 2023; effectively manage our working capital; ensure robust cybersecurity protection of Company and customer data and systems; and ensure that our procedures and internal controls are revised and updated to remain effective for our smaller workforce and the reduced size and scale of our business operations.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highly dependent on qualified personnel at all levels, including our senior management team and other key technical, operational, managerial and sales and marketing personnel, each of whom would be difficult to replace. Our recent reduction-in-force increased our dependence on continuing personnel.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particularly in light of our recent reductions-in-force.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strategic activities could disrupt our business and affect our results of operations.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response to increasing competitive pressure, we may take additional measures intended to increase profitability and align our business more closely with our current strategic and financial objectives, including engagement with new suppliers, further modifications to our manufacturing arrangements and other cost-reduction efforts. For example, in February 2024 we announced a staged wind-down of our manufacturing operations and a related reduction-in-force of 75 employees, as a result of which we have incurred or expect to incur aggregate charges of approximately $14.3 million, consisting of a $5.2 million non-cash charge related to the inventory write-down, a $3.6 million provision for excess purchase order obligations, approximately $3.4 million of severance charges, and a $2.1 million charge for the discontinuation of a project for implementing a new manufacturing-centric accounting system. We may also choose to dispose of assets or make strategic divestitures, such as the sale of our inertial navigation business in August 2022. These efforts may not succeed in improving profitability. Any of these changes could be disruptive to our business and could result in significant expense, including losses on any asset disposition or divestiture, accounting charges for any inventory or technology-related write-offs or any workforce reduction costs, such as those described elsewhere in risk factors. We could incur significant transaction costs, including for potential transactions that do not proceed. Substantial expense or charges resulting from restructuring activities, dispositions of assets or divestitures could adversely affect our results of operations and use of cash in the periods in which we take these actions. Any disposition of assets or divestiture could also result in the retention of liabilities and expenses that are not assumed by the buyer or the loss of operating income from the divested assets or operations, either of which could negatively impact profitability after any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We must generate a certain level of service sales in order to maintain or improve our service gross margins.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global satellite network infrastructure, we incur certain costs that generally do not vary directly in proportion to the volume of service sales, and we have limited ability to reduce these fixed costs. The cost of our HTS network has increased significantly each year as we have expanded our network to accommodate additional subscriber demand and/or coverage areas. If service sales, including through our AgilePlans subscription model, continue to decline, our service gross margins will also decline. The failure to improve our global HTS service gross margins and unit or subscriber sales would have a material adverse effect on our overall profitability.</w:t>
      </w:r>
    </w:p>
    <w:p>
      <w:pPr>
        <w:spacing w:after="0" w:line="21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prepaid $17.0 million for access to a large block of Starlink Mobile Priority data at favorable rates. If the volume of services sales is not significant enough to consume this pooled data within the applicable period, our gross margins will suffer. While we currently expect to consume all of this pooled data within the contract period, if at any time we were to determine that it is more likely than not that we would not consume a portion of the pooled data, we may expense the applicable portion at the time of each such determination.</w:t>
      </w:r>
    </w:p>
    <w:p>
      <w:pPr>
        <w:spacing w:after="0" w:line="2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Our ability to compete in the maritime airtime services market will be impaired if we are unable to provide sufficient service capacity to meet customer demand.</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offer our global HTS VSAT service in the Americas, Europe, the Middle East, Africa, Asia-Pacific, Indian, and Australian and New Zealand waters. We may need to expand capacity in existing coverage areas to support our subscriber base. If we are unable to reach economical agreements with third-party satellite providers to support our global satellite services and its technology or if transponder capacity is unavailable to meet growing demand in a given region, our ability to provide airtime services will be at risk and could reduce the attractiveness of our products and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adversely affected by unseasonably cold weather, prolonged winter conditions, disasters or similar events.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fourth and first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winding down our single manufacturing facility, and any significant disruption to this facility in the near term will impair our ability to deliver our products.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manufacture all of our products at our manufacturing facility in Middletown, Rhode Island, and we have begun to wind down our manufacturing operations at that facility. We currently plan to discontinue the majority of our capital-intensive manufacturing activities by the end of 2025.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 In light of the wind-down, we may elect to halt production rather than to incur significant expenses to repair or replace manufacturing equipment, which may limit our production and accelerate the loss of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Acquisitions and strategic relationships may disrupt our operations or adversely affect our results.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opportunities to acquire other businesses and pursue other strategic relationships as they arise.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increased costs to improve or coordinate managerial, operational, financial, and administrative systems, including internal control over financial reporting; dilutive issuances of equity securities; the assumption of legal liabilities; and losses arising from impairment charges associated with goodwill or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Increasingly intense competition may limit our ability to sell our products and services.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mobile connectivity market is intensely competitive, and we expect the intensity of competition to continue to increase in the future. We may not be able to compete successfully against current and future competitors, which would impair our ability to sell our products and services. We are facing significant competition from companies that seek to compete primarily on price as well as new, emerging NGSO services, such as Starlink and OneWeb, as well as future LEO services such as Kuiper, Telesat, and others. Competition from these sources increased dramatically in 2023 and has continued to intensify in 2024, leading to material reductions in our VSAT subscriber base. These companies may continue to implement price reductions and discounts for both products and services, which have required us to reduce our prices or offer discounts in an effort to prevent erosion of our market share. The majority of our customers have no long-term commitment and can switch providers without penalty. For example, AgilePlan customers are on month-to-month agreements, and our agreement with the U.S. Coast Guard, a significant government customer, is structured as an indefinite delivery/indefinite quantity contract. The U.S. Coast Guard has advised us that it intends to transition its primary satellite service relationship on the vessels we currently serve to Starlink, as a result of which we currently anticipate a material decline in revenue from the Coast Guard starting in the third or fourth quarter of 2024. Current and future competitors have greater financial resources than we do, enabling them to operate at lower margins to gain market share. We believe increased competition contributed to the decreases in both our service sales and our product sales in the six months ended June 30, 2024, including unit sales of our VSAT products, and we expect that this trend will continue in future periods.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VSAT competitors have already leveraged partnerships amongst themselves in order to capture larger combined market share. Further, 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 less favorable terms.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Starlink LEO service continues to adversely impact our business, particularly within the global leisure segment. A significant number of leisure customers have adopted Starlink systems for both two-way communications as well as streaming, which has impacted both our VSAT Broadband and TracVision businesses. Although our leisure business accounts for less than 15% of our total revenue, competition from Starlink has adversely impacted our commercial business as well, particularly our growth in that segment. While we did increase our subscriber count in the second quarter of 2024, in the third and fourth quarter of 2023 and the first quarter of 2024 the total number of our subscribers declined. If we are unable to sustain growth, it would have a material adverse effect on our revenue, profitability, and cash flow.</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marine market for high-speed Internet, voice, fax, and data services, we have historically competed primarily with Inmarsat, Marlink, Speedcast, Viasat, and Network Innovations, along with smaller, single-hub regional services to deliver VSAT service. Additionally, we are facing meaningful competition from new NGSO networks such as SpaceX’s Starlink and OneWeb and an emerging group of smaller LEO-focused providers, such as Clarus and Elcome. We also face competition from providers of low-speed data services, which include Inmarsat and Iridium Satellite LLC. In the marine market for satellite TV equipment, we compete primarily with Intellian, Cobham SATCOM and Raymarine (Intellian-made). In the marine market for two-way communications equipment, we compete primarily with Intellian and Cobham SATCOM. In the market for land mobile satellite TV equipment, we compete primarily with King Controls and Winegard Company. In the markets for media content, the KVH Media Group competes primarily with Swank Motion Pictures, Baze Technology, and PressReader. Many of our competitors are well-established companies that have substantially greater financial, managerial, technical, marketing, personnel, and other resources than we do, which may help them to compete more effectively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We depend on sole or limited source suppliers, and any disruption in supply could impair our ability to deliver products on time or at expected cost.</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obtain many products and key components for our products, including Starlink terminals, from third-party suppliers, and in some cases we use a single or a limited number of suppliers. Any interruption in supply could impair our ability to deliver the products we sell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We may not be able to pass along any of these cost increases to our customers, and customers may not wait for products to become available. These disruptions in our supply chain could worsen, which could delay delivery of products and services and adversely affect our revenue and results of operations. Suppliers might change or discontinue products or key components, which could require us to modify our product designs or cease production or sales. In general, we do not have written long-term supply agreements with our suppliers but instead buy products and components through purchase orders, which expose us to potential price increases and termination of supply without notice or recourse. We generally do not carry significant inventories of products or components, which could magnify the impact of the loss of a supplier. If we must use a new source of supply, we could face unexpected manufacturing difficulties and loss of product performance or reliability. In addition, lead times for certain products or components can increase significantly due to imbalances in overall market supply and demand. This, in turn, could limit our ability to satisfy demand for the products we sell and could result in the cancellation of customer orders.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competitive environment, customer demand, supply chain issues, and the transition to new products may require inventory write-downs.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have recorded significant inventory charges and/or inventory write-offs as a result of substantial declines in customer demand. For example, in 2023, we recorded a $5.2 million inventory write-down charge and a $3.6 million charge for excess purchase order obligations, both relating to the reduced demand for our hardware products, which has led to the staged wind-down of our manufacturing activities at our facility in Middletown, Rhode Island in 2024. Market or competitive changes, such as a continuation of the decline in demand for our TracVision products that we experienced in 2023, could lead to future charges for excess or obsolete inventory, especially if we are unable to appropriately adjust the supply of material from our vendors, as we were unable to do in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dependence on third parties and third-party technology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mobile satellite communications solutions currently depend on third-party satellite services, gateway teleports and terrestrial networks provided by third parties, and a disruption in those services could adversely affect sales.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mobile satellite communications solutions utilize third-party satellite services. We do not own the satellites that provide two-way satellite communications or the terrestrial networks that interconnect our facilities with the satellite teleports that communicate with the satellites. Intelsat and Sky Perfect-JSAT currently provide the satellite capacity to support our global high-throughput satellite (HTS) broadband service, our TracNet H-series and TracPhone V-HTS series products and third-party products compatible with our services. Vodafone currently provides the 5G/LTE services used by our TracNet H-series terminals and compatible third-party products to provide cellular service in 150+ countries. Starlink provides the data services for Starlink LEO services, while Eutelsat OneWeb will provide the data connectivity for OneWeb LEO service, which we currently anticipate providing for maritime use late in the third quarter of 2024. We rely on Inmarsat for satellite communications services for our FleetBroadband-compatible and FleetOne-compatible products. We also have an arrangement with Iridium for additional satellite communications services that we make available to our customers as a backup option to provide communications redundancy with our primary service offerings.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offer satellite television solutions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exercise little or no control over these third-party providers of satellite, teleport, and terrestrial network services, which increases our vulnerability to problems with the services and coverage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security, or adequate data service coverage in key regions could harm our relationships with our customers, result in claims for credits or damages, damage our reputation, significantly reduce customer demand for our solution and seriously harm our financial condition and operating results.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the satellite products or services we offer. There may be no alternative satellite service provider available to us in a particular geographic area, and the modem or other technology our customers use may not be compatible with the technology of any alternative service provider that may be available. Even if available, delays caused by switching our systems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the products and services we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We depend on cloud-based data services operated by third parties, and any disruption in the operation of these services could harm our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media and entertainment business relies on licensing arrangements with content providers, and the loss of, or changes in, those arrangements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distribute premium news, television shows, sports, and movies to commercial customers in the maritime and hotel markets.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 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Cybersecurity breaches could disrupt our operations, expose us to liability, damage our reputation, and require us to incur significant costs or otherwise adversely affect our financial results.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The protective measures on which we rely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economic conditions and trade relations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revenues, results of operations and financial condition may be adversely impacted by economic turmoil, war, political instability, declines in consumer and enterprise spending.</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Economic and political conditions in the geographic markets we serve have experienced significant turmoil over the last several years, including a potential global recession, slow economic activity, war and refugee crises in the Middle East and Europe, tight credit markets, inflation and deflation concerns, increased interest rates, low consumer confidence, limited capital spending, adverse business conditions, terrorist attacks, changes in government priorities, trade wars, anti-globalization movements, efforts to combat climate change, restrictions on commercial fishing, a government shutdown, gridlock from a divided Congress, and liquidity concerns. These factors vary in intensity by region. For example, the war in the Middle East has resulted in periodic disruptions to global shipping, which could intensify and result in significant delays in shipments of products or supplies, materially increased shipping costs and loss of revenues.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U.S. trade policy, including changes to existing trade agreements and any resulting changes in international trade relations, may have a material adverse effect on us.</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U.S. may continue to alter its approach to international trade, which may impact existing bilateral or multi-lateral trade agreements and treaties with foreign countries. The U.S. has imposed tariffs on certain foreign goods and may increase tariffs or impose new ones, and certain foreign governments have retaliated and may continue to do so. We derive a majority of our revenues from international sales, which makes us especially vulnerable to increased tariffs. Changes in U.S. trade policy have created ongoing turmoil in international trade relations, and it is unclear what future actions governments will or will not take with respect to tariffs or other international trade agreements and policies. Ongoing or new trade wars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may negatively affect our financial condition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significant exposure to movements in exchange rates for foreign currencies, particularly the pound sterling and the euro. For example, during 2022, the U.S. dollar strengthened against certain foreign currencies, which adversely affected revenues reported in U.S. dollars and decreased the reported value of our assets in foreign countries. Conversely, the U.S. dollar weakened against certain foreign currencies during 2023.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intellectual property and technological innovation</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research and development efforts may be unsuccessful. If we are unable to improve our existing solutions and develop new, innovative solutions, our sales and market share may decline.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mobile connectivity solutions is characterized by rapid technological change, frequent new product innovations, changes in customer requirements and expectations, and evolving industry standards. For example, we are facing competition from new LEO networks such as SpaceX’s Starlink and OneWeb. If we fail to make innovations in our existing products and services and reduce the costs of our products and services, our market share will likely decline. Products or services using new technologies, or emerging industry standards, could render our products and services obsolete. If our competitors successfully introduce new or enhanced products or services that outperform our products or services, or are perceived as doing so, we may be unable to compete successfully in the markets affected by these changes.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is inherently complex and uncertain, and our current and anticipated research and development projects may not achieve the results we seek. The financial resources that we can devote to our research and development efforts may be insufficient to achieve our goals. Our efforts may not result in any viable products or may result in products whose performance, features, price or availability may not be attractive to customers or that we cannot manufacture and sell profitably.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suffer if we cannot protect our proprietary technology.</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compete depends in part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by others that we infringe their intellectual property rights could harm our business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We cannot be certain that our products and services do not and will not infringe issued patents, patents that may be issued in the future, or other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government regulation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complicate our business and require us to comply with multiple regulatory environments.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Historically, sales to customers outside the United States have accounted for an increasingly significant portion of our net sales. We derived 72%, 68% and 63% of our revenues from continuing operations in the six months ended June 30, 2024 and the years ended December 31, 2023 and 2022, respectively, from sales to these foreign customers. We have foreign offices in Denmark, the United Kingdom, Singapore, Japan, Norway and the Philippines, as well as a subsidiary in Brazil that manages local sales. Nonetheless, substantially all of our operations and a significant number of our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international shipping delays; tariffs; sanctions or other trade restrictions that preclude or restrict doing business with particular foreign governments, companies or individuals; technical challenges we may face in adapting our solutions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could incur additional legal compliance costs associated with our international operations and could become subject to legal penalties if we do not comply with certain regulations.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products and services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 Further, many of our commercial suppliers of satellite transmission capacity impose contractual obligations on us that permit them to suspend or terminate their provision of satellite services to support our network if we fail to maintain compliance with these laws and regulations. The loss of access to satellite capacity would materially and adversely affect our maritime communications service.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satellite communications industry in the United States is regulated by the Federal Communications Commission (FCC), and 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Privacy concerns and domestic or foreign laws and regulations may reduce demand for our services, increase our costs and harm our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 compliance with, and other burdens imposed by, such laws and regulations may limit the use and adoption of our services and reduce overall demand. Non-compliance with these laws and regulations could lead to significant remediation expenses, fines, 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owning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be volatile.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stock price has historically been volatile. During the period from January 1, 2018 to June 30, 2024, the trading price of our common stock ranged from $4.30 to $15.29. Many factors may cause our stock price to fluctuate, including variations in quarterly results; the introduction of new products and services by us or our competitors; adverse business developments; reductions-in-force;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20"/>
        <w:spacing w:after="0"/>
        <w:tabs>
          <w:tab w:leader="none" w:pos="2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 w:lineRule="exact"/>
        <w:rPr>
          <w:sz w:val="20"/>
          <w:szCs w:val="20"/>
          <w:color w:val="auto"/>
        </w:rPr>
      </w:pPr>
    </w:p>
    <w:p>
      <w:pPr>
        <w:ind w:left="980" w:right="640" w:hanging="368"/>
        <w:spacing w:after="0" w:line="250" w:lineRule="auto"/>
        <w:tabs>
          <w:tab w:leader="none" w:pos="960" w:val="left"/>
        </w:tabs>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Amended and Restated Certificate of Incorporation, as amended</w:t>
      </w:r>
    </w:p>
    <w:p>
      <w:pPr>
        <w:spacing w:after="0" w:line="41" w:lineRule="exact"/>
        <w:rPr>
          <w:sz w:val="20"/>
          <w:szCs w:val="20"/>
          <w:color w:val="auto"/>
        </w:rPr>
      </w:pPr>
    </w:p>
    <w:p>
      <w:pPr>
        <w:ind w:left="620"/>
        <w:spacing w:after="0"/>
        <w:tabs>
          <w:tab w:leader="none" w:pos="960" w:val="left"/>
        </w:tabs>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Certificate of Designations of Series A Junior Participating</w:t>
      </w:r>
    </w:p>
    <w:p>
      <w:pPr>
        <w:spacing w:after="0" w:line="2" w:lineRule="exact"/>
        <w:rPr>
          <w:sz w:val="20"/>
          <w:szCs w:val="20"/>
          <w:color w:val="auto"/>
        </w:rPr>
      </w:pPr>
    </w:p>
    <w:p>
      <w:pPr>
        <w:ind w:left="980"/>
        <w:spacing w:after="0" w:line="218" w:lineRule="auto"/>
        <w:rPr>
          <w:sz w:val="20"/>
          <w:szCs w:val="20"/>
          <w:color w:val="auto"/>
        </w:rPr>
      </w:pPr>
      <w:r>
        <w:rPr>
          <w:rFonts w:ascii="Times New Roman" w:cs="Times New Roman" w:eastAsia="Times New Roman" w:hAnsi="Times New Roman"/>
          <w:sz w:val="18"/>
          <w:szCs w:val="18"/>
          <w:color w:val="auto"/>
        </w:rPr>
        <w:t>Cumulative Preferred Stock of KVH Industries, Inc. classifying and designating the Series A Junior Participating Cumulative 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 with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13335</wp:posOffset>
            </wp:positionV>
            <wp:extent cx="8401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r>
      <w:tr>
        <w:trPr>
          <w:trHeight w:val="234"/>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6, 2010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468"/>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19,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bl>
    <w:p>
      <w:pPr>
        <w:spacing w:after="0" w:line="575" w:lineRule="exact"/>
        <w:rPr>
          <w:sz w:val="20"/>
          <w:szCs w:val="20"/>
          <w:color w:val="auto"/>
        </w:rPr>
      </w:pPr>
    </w:p>
    <w:p>
      <w:pPr>
        <w:sectPr>
          <w:pgSz w:w="11900" w:h="16838" w:orient="portrait"/>
          <w:cols w:equalWidth="0" w:num="3">
            <w:col w:w="5560" w:space="360"/>
            <w:col w:w="940" w:space="300"/>
            <w:col w:w="4060"/>
          </w:cols>
          <w:pgMar w:left="320" w:top="765" w:right="359" w:bottom="1440" w:gutter="0" w:footer="0" w:header="0"/>
        </w:sectPr>
      </w:pPr>
    </w:p>
    <w:tbl>
      <w:tblPr>
        <w:tblLayout w:type="fixed"/>
        <w:tblInd w:w="520" w:type="dxa"/>
        <w:tblCellMar>
          <w:top w:w="0" w:type="dxa"/>
          <w:left w:w="0" w:type="dxa"/>
          <w:bottom w:w="0" w:type="dxa"/>
          <w:right w:w="0" w:type="dxa"/>
        </w:tblCellMar>
      </w:tblPr>
      <w:tr>
        <w:trPr>
          <w:trHeight w:val="207"/>
        </w:trPr>
        <w:tc>
          <w:tcPr>
            <w:tcW w:w="320" w:type="dxa"/>
            <w:vAlign w:val="bottom"/>
            <w:gridSpan w:val="2"/>
          </w:tcPr>
          <w:p>
            <w:pPr>
              <w:jc w:val="right"/>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7"/>
                <w:szCs w:val="17"/>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50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3"/>
        </w:trPr>
        <w:tc>
          <w:tcPr>
            <w:tcW w:w="320" w:type="dxa"/>
            <w:vAlign w:val="bottom"/>
            <w:gridSpan w:val="2"/>
          </w:tcPr>
          <w:p>
            <w:pPr>
              <w:jc w:val="right"/>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2"/>
                <w:szCs w:val="22"/>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Specimen certificate for the common stock</w:t>
            </w:r>
          </w:p>
        </w:tc>
        <w:tc>
          <w:tcPr>
            <w:tcW w:w="500" w:type="dxa"/>
            <w:vAlign w:val="bottom"/>
          </w:tcPr>
          <w:p>
            <w:pPr>
              <w:spacing w:after="0"/>
              <w:rPr>
                <w:sz w:val="22"/>
                <w:szCs w:val="22"/>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13a-14(a)/15d-14(a) certification of principal executive</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500" w:type="dxa"/>
            <w:vAlign w:val="bottom"/>
          </w:tcPr>
          <w:p>
            <w:pPr>
              <w:spacing w:after="0"/>
              <w:rPr>
                <w:sz w:val="18"/>
                <w:szCs w:val="18"/>
                <w:color w:val="auto"/>
              </w:rPr>
            </w:pPr>
          </w:p>
        </w:tc>
      </w:tr>
      <w:tr>
        <w:trPr>
          <w:trHeight w:val="238"/>
        </w:trPr>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13a-14(a)/15d-14(a) certification of principal financial</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500" w:type="dxa"/>
            <w:vAlign w:val="bottom"/>
          </w:tcPr>
          <w:p>
            <w:pPr>
              <w:spacing w:after="0"/>
              <w:rPr>
                <w:sz w:val="18"/>
                <w:szCs w:val="18"/>
                <w:color w:val="auto"/>
              </w:rPr>
            </w:pPr>
          </w:p>
        </w:tc>
      </w:tr>
      <w:tr>
        <w:trPr>
          <w:trHeight w:val="238"/>
        </w:trPr>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1350 certification of principal executive officer and</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00" w:type="dxa"/>
            <w:vAlign w:val="bottom"/>
          </w:tcPr>
          <w:p>
            <w:pPr>
              <w:spacing w:after="0"/>
              <w:rPr>
                <w:sz w:val="18"/>
                <w:szCs w:val="18"/>
                <w:color w:val="auto"/>
              </w:rPr>
            </w:pPr>
          </w:p>
        </w:tc>
      </w:tr>
      <w:tr>
        <w:trPr>
          <w:trHeight w:val="233"/>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101</w:t>
            </w:r>
          </w:p>
        </w:tc>
        <w:tc>
          <w:tcPr>
            <w:tcW w:w="8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following financial information from KVH Industries,</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Inc.'s Quarterly Report on Form 10-Q for the quarter ended</w:t>
            </w:r>
          </w:p>
        </w:tc>
        <w:tc>
          <w:tcPr>
            <w:tcW w:w="50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March  31,  2024,  formatted  in  Inline  XBRL  (Extensible</w:t>
            </w:r>
          </w:p>
        </w:tc>
        <w:tc>
          <w:tcPr>
            <w:tcW w:w="500" w:type="dxa"/>
            <w:vAlign w:val="bottom"/>
          </w:tcPr>
          <w:p>
            <w:pPr>
              <w:spacing w:after="0"/>
              <w:rPr>
                <w:sz w:val="15"/>
                <w:szCs w:val="15"/>
                <w:color w:val="auto"/>
              </w:rPr>
            </w:pPr>
          </w:p>
        </w:tc>
      </w:tr>
      <w:tr>
        <w:trPr>
          <w:trHeight w:val="204"/>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ind w:left="60"/>
              <w:spacing w:after="0" w:line="204" w:lineRule="exact"/>
              <w:rPr>
                <w:sz w:val="20"/>
                <w:szCs w:val="20"/>
                <w:color w:val="auto"/>
              </w:rPr>
            </w:pPr>
            <w:r>
              <w:rPr>
                <w:rFonts w:ascii="Times New Roman" w:cs="Times New Roman" w:eastAsia="Times New Roman" w:hAnsi="Times New Roman"/>
                <w:sz w:val="18"/>
                <w:szCs w:val="18"/>
                <w:color w:val="auto"/>
              </w:rPr>
              <w:t>Business Reporting Language): (i) the Consolidated Balance</w:t>
            </w:r>
          </w:p>
        </w:tc>
        <w:tc>
          <w:tcPr>
            <w:tcW w:w="500" w:type="dxa"/>
            <w:vAlign w:val="bottom"/>
          </w:tcPr>
          <w:p>
            <w:pPr>
              <w:spacing w:after="0"/>
              <w:rPr>
                <w:sz w:val="17"/>
                <w:szCs w:val="17"/>
                <w:color w:val="auto"/>
              </w:rPr>
            </w:pPr>
          </w:p>
        </w:tc>
      </w:tr>
    </w:tbl>
    <w:p>
      <w:pPr>
        <w:jc w:val="both"/>
        <w:ind w:left="980" w:right="1200"/>
        <w:spacing w:after="0" w:line="208" w:lineRule="auto"/>
        <w:rPr>
          <w:sz w:val="20"/>
          <w:szCs w:val="20"/>
          <w:color w:val="auto"/>
        </w:rPr>
      </w:pPr>
      <w:r>
        <w:rPr>
          <w:rFonts w:ascii="Times New Roman" w:cs="Times New Roman" w:eastAsia="Times New Roman" w:hAnsi="Times New Roman"/>
          <w:sz w:val="18"/>
          <w:szCs w:val="18"/>
          <w:color w:val="auto"/>
        </w:rPr>
        <w:t>Sheets (unaudited), (ii) the Consolidated Statements of Operations (unaudited), (iii) the Consolidated Statements of Comprehensive (Loss) Income (unaudited), (iv) the</w:t>
      </w:r>
    </w:p>
    <w:p>
      <w:pPr>
        <w:ind w:left="980"/>
        <w:spacing w:after="0" w:line="205" w:lineRule="auto"/>
        <w:rPr>
          <w:sz w:val="20"/>
          <w:szCs w:val="20"/>
          <w:color w:val="auto"/>
        </w:rPr>
      </w:pPr>
      <w:r>
        <w:rPr>
          <w:rFonts w:ascii="Times New Roman" w:cs="Times New Roman" w:eastAsia="Times New Roman" w:hAnsi="Times New Roman"/>
          <w:sz w:val="18"/>
          <w:szCs w:val="18"/>
          <w:color w:val="auto"/>
        </w:rPr>
        <w:t>Consolidated Statements of Stockholders' Equity (unaudited),</w:t>
      </w:r>
    </w:p>
    <w:p>
      <w:pPr>
        <w:ind w:left="1240" w:hanging="256"/>
        <w:spacing w:after="0" w:line="204"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(unaudited), and</w:t>
      </w:r>
    </w:p>
    <w:p>
      <w:pPr>
        <w:ind w:left="1340" w:hanging="356"/>
        <w:spacing w:after="0" w:line="219"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Consolidated Interim Financial Statements</w:t>
      </w:r>
    </w:p>
    <w:p>
      <w:pPr>
        <w:ind w:left="980"/>
        <w:spacing w:after="0"/>
        <w:rPr>
          <w:sz w:val="20"/>
          <w:szCs w:val="20"/>
          <w:color w:val="auto"/>
        </w:rPr>
      </w:pPr>
      <w:r>
        <w:rPr>
          <w:rFonts w:ascii="Times New Roman" w:cs="Times New Roman" w:eastAsia="Times New Roman" w:hAnsi="Times New Roman"/>
          <w:sz w:val="18"/>
          <w:szCs w:val="18"/>
          <w:color w:val="auto"/>
        </w:rPr>
        <w:t>(unaudited).</w:t>
      </w:r>
    </w:p>
    <w:p>
      <w:pPr>
        <w:spacing w:after="0" w:line="57" w:lineRule="exact"/>
        <w:rPr>
          <w:sz w:val="20"/>
          <w:szCs w:val="20"/>
          <w:color w:val="auto"/>
        </w:rPr>
      </w:pPr>
    </w:p>
    <w:p>
      <w:pPr>
        <w:ind w:left="980" w:right="340" w:hanging="459"/>
        <w:spacing w:after="0" w:line="297" w:lineRule="auto"/>
        <w:tabs>
          <w:tab w:leader="none" w:pos="9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 XBRL document)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 2017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2018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2">
            <w:col w:w="6800" w:space="720"/>
            <w:col w:w="3700"/>
          </w:cols>
          <w:pgMar w:left="320" w:top="765" w:right="359" w:bottom="1440" w:gutter="0" w:footer="0" w:header="0"/>
          <w:type w:val="continuous"/>
        </w:sectPr>
      </w:pPr>
    </w:p>
    <w:bookmarkStart w:id="43" w:name="page44"/>
    <w:bookmarkEnd w:id="4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7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77" w:lineRule="exact"/>
        <w:rPr>
          <w:sz w:val="20"/>
          <w:szCs w:val="20"/>
          <w:color w:val="auto"/>
        </w:rPr>
      </w:pPr>
    </w:p>
    <w:p>
      <w:pPr>
        <w:ind w:left="5260"/>
        <w:spacing w:after="0"/>
        <w:tabs>
          <w:tab w:leader="none" w:pos="7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Anthony F. Pike</w:t>
      </w:r>
    </w:p>
    <w:p>
      <w:pPr>
        <w:spacing w:after="0" w:line="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(Duly Authorized Officer and Chief Financial</w:t>
      </w:r>
    </w:p>
    <w:p>
      <w:pPr>
        <w:ind w:left="820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280"/>
          </w:cols>
          <w:pgMar w:left="320" w:top="1035" w:right="12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C. Bruun,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KVH Industries,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spacing w:after="0" w:line="282"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24942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Brent C. Bruun</w:t>
      </w: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F. Pike,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KVH Industries,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3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spacing w:after="0" w:line="282" w:lineRule="auto"/>
        <w:tabs>
          <w:tab w:leader="none" w:pos="13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24942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Anthony F. Pike</w:t>
      </w: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KVH Industries, Inc. (the “Company”) for the quarter ended June 30, 2024,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39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Brent C. Bruun</w:t>
            </w:r>
          </w:p>
        </w:tc>
        <w:tc>
          <w:tcPr>
            <w:tcW w:w="1340" w:type="dxa"/>
            <w:vAlign w:val="bottom"/>
          </w:tcPr>
          <w:p>
            <w:pPr>
              <w:spacing w:after="0"/>
              <w:rPr>
                <w:sz w:val="17"/>
                <w:szCs w:val="17"/>
                <w:color w:val="auto"/>
              </w:rPr>
            </w:pP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 Anthony F. Pike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Brent C. Bruun</w:t>
            </w:r>
          </w:p>
        </w:tc>
        <w:tc>
          <w:tcPr>
            <w:tcW w:w="2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Anthony F. Pike</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340" w:type="dxa"/>
            <w:vAlign w:val="bottom"/>
          </w:tcPr>
          <w:p>
            <w:pPr>
              <w:spacing w:after="0"/>
              <w:rPr>
                <w:sz w:val="24"/>
                <w:szCs w:val="24"/>
                <w:color w:val="auto"/>
              </w:rPr>
            </w:pPr>
          </w:p>
        </w:tc>
        <w:tc>
          <w:tcPr>
            <w:tcW w:w="1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1"/>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1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Date:</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August 1, 2024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1)"/>
      <w:numFmt w:val="decimal"/>
      <w:start w:val="14"/>
    </w:lvl>
  </w:abstractNum>
  <w:abstractNum w:abstractNumId="15">
    <w:nsid w:val="7C83E458"/>
    <w:multiLevelType w:val="hybridMultilevel"/>
    <w:lvl w:ilvl="0">
      <w:lvlJc w:val="left"/>
      <w:lvlText w:val="(%1)"/>
      <w:numFmt w:val="decimal"/>
      <w:start w:val="15"/>
    </w:lvl>
  </w:abstractNum>
  <w:abstractNum w:abstractNumId="16">
    <w:nsid w:val="257130A3"/>
    <w:multiLevelType w:val="hybridMultilevel"/>
    <w:lvl w:ilvl="0">
      <w:lvlJc w:val="left"/>
      <w:lvlText w:val="(%1)"/>
      <w:numFmt w:val="decimal"/>
      <w:start w:val="16"/>
    </w:lvl>
  </w:abstractNum>
  <w:abstractNum w:abstractNumId="17">
    <w:nsid w:val="62BBD95A"/>
    <w:multiLevelType w:val="hybridMultilevel"/>
    <w:lvl w:ilvl="0">
      <w:lvlJc w:val="left"/>
      <w:lvlText w:val="(%1)"/>
      <w:numFmt w:val="decimal"/>
      <w:start w:val="17"/>
    </w:lvl>
  </w:abstractNum>
  <w:abstractNum w:abstractNumId="18">
    <w:nsid w:val="436C6125"/>
    <w:multiLevelType w:val="hybridMultilevel"/>
    <w:lvl w:ilvl="0">
      <w:lvlJc w:val="left"/>
      <w:lvlText w:val="(%1)"/>
      <w:numFmt w:val="lowerRoman"/>
      <w:start w:val="5"/>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62" Type="http://schemas.openxmlformats.org/officeDocument/2006/relationships/hyperlink" Target="https://www.sec.gov/Archives/edgar/data/1007587/000119312510179682/dex31.htm" TargetMode="External"/><Relationship Id="rId63" Type="http://schemas.openxmlformats.org/officeDocument/2006/relationships/hyperlink" Target="https://www.sec.gov/Archives/edgar/data/1007587/000110465922092774/tm2223782d1_ex3-1.htm" TargetMode="External"/><Relationship Id="rId65" Type="http://schemas.openxmlformats.org/officeDocument/2006/relationships/hyperlink" Target="https://www.sec.gov/Archives/edgar/data/1007587/000100758717000038/kvhi1101201710qex32.htm" TargetMode="External"/><Relationship Id="rId66" Type="http://schemas.openxmlformats.org/officeDocument/2006/relationships/hyperlink" Target="https://www.sec.gov/Archives/edgar/data/1007587/000100758718000006/kvhi1231201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2024-08-01T11:13:27Z</dcterms:created>
  <dcterms:modified xsi:type="dcterms:W3CDTF">2024-08-01T11:13:27Z</dcterms:modified>
</cp:coreProperties>
</file>