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40005</wp:posOffset>
            </wp:positionV>
            <wp:extent cx="2079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61595</wp:posOffset>
            </wp:positionV>
            <wp:extent cx="2079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32" w:lineRule="exact"/>
        <w:rPr>
          <w:sz w:val="24"/>
          <w:szCs w:val="24"/>
          <w:color w:val="auto"/>
        </w:rPr>
      </w:pPr>
    </w:p>
    <w:p>
      <w:pPr>
        <w:ind w:left="680" w:right="380" w:hanging="658"/>
        <w:spacing w:after="0" w:line="233" w:lineRule="auto"/>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2025</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 w:lineRule="exact"/>
        <w:rPr>
          <w:sz w:val="24"/>
          <w:szCs w:val="24"/>
          <w:color w:val="auto"/>
        </w:rPr>
      </w:pPr>
    </w:p>
    <w:p>
      <w:pPr>
        <w:ind w:left="680" w:right="360" w:hanging="658"/>
        <w:spacing w:after="0" w:line="233"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56" w:lineRule="exact"/>
        <w:rPr>
          <w:sz w:val="24"/>
          <w:szCs w:val="24"/>
          <w:color w:val="auto"/>
        </w:rPr>
      </w:pPr>
    </w:p>
    <w:tbl>
      <w:tblPr>
        <w:tblLayout w:type="fixed"/>
        <w:tblInd w:w="1040" w:type="dxa"/>
        <w:tblCellMar>
          <w:top w:w="0" w:type="dxa"/>
          <w:left w:w="0" w:type="dxa"/>
          <w:bottom w:w="0" w:type="dxa"/>
          <w:right w:w="0" w:type="dxa"/>
        </w:tblCellMar>
      </w:tblPr>
      <w:tr>
        <w:trPr>
          <w:trHeight w:val="195"/>
        </w:trPr>
        <w:tc>
          <w:tcPr>
            <w:tcW w:w="2460" w:type="dxa"/>
            <w:vAlign w:val="bottom"/>
          </w:tcPr>
          <w:p>
            <w:pPr>
              <w:spacing w:after="0"/>
              <w:rPr>
                <w:sz w:val="17"/>
                <w:szCs w:val="17"/>
                <w:color w:val="auto"/>
              </w:rPr>
            </w:pP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30"/>
        </w:trPr>
        <w:tc>
          <w:tcPr>
            <w:tcW w:w="2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gridSpan w:val="3"/>
          </w:tcPr>
          <w:p>
            <w:pPr>
              <w:jc w:val="center"/>
              <w:ind w:right="3210"/>
              <w:spacing w:after="0"/>
              <w:rPr>
                <w:sz w:val="20"/>
                <w:szCs w:val="20"/>
                <w:color w:val="auto"/>
              </w:rPr>
            </w:pPr>
            <w:r>
              <w:rPr>
                <w:rFonts w:ascii="Times New Roman" w:cs="Times New Roman" w:eastAsia="Times New Roman" w:hAnsi="Times New Roman"/>
                <w:sz w:val="17"/>
                <w:szCs w:val="17"/>
                <w:b w:val="1"/>
                <w:bCs w:val="1"/>
                <w:color w:val="auto"/>
              </w:rPr>
              <w:t>Commission File Number 0-28082</w:t>
            </w:r>
          </w:p>
        </w:tc>
      </w:tr>
      <w:tr>
        <w:trPr>
          <w:trHeight w:val="59"/>
        </w:trPr>
        <w:tc>
          <w:tcPr>
            <w:tcW w:w="2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80" w:type="dxa"/>
            <w:vAlign w:val="bottom"/>
            <w:tcBorders>
              <w:bottom w:val="single" w:sz="8" w:color="auto"/>
            </w:tcBorders>
            <w:gridSpan w:val="2"/>
          </w:tcPr>
          <w:p>
            <w:pPr>
              <w:spacing w:after="0"/>
              <w:rPr>
                <w:sz w:val="5"/>
                <w:szCs w:val="5"/>
                <w:color w:val="auto"/>
              </w:rPr>
            </w:pPr>
          </w:p>
        </w:tc>
        <w:tc>
          <w:tcPr>
            <w:tcW w:w="3300" w:type="dxa"/>
            <w:vAlign w:val="bottom"/>
          </w:tcPr>
          <w:p>
            <w:pPr>
              <w:spacing w:after="0"/>
              <w:rPr>
                <w:sz w:val="5"/>
                <w:szCs w:val="5"/>
                <w:color w:val="auto"/>
              </w:rPr>
            </w:pPr>
          </w:p>
        </w:tc>
      </w:tr>
      <w:tr>
        <w:trPr>
          <w:trHeight w:val="484"/>
        </w:trPr>
        <w:tc>
          <w:tcPr>
            <w:tcW w:w="2460" w:type="dxa"/>
            <w:vAlign w:val="bottom"/>
          </w:tcPr>
          <w:p>
            <w:pPr>
              <w:spacing w:after="0"/>
              <w:rPr>
                <w:sz w:val="24"/>
                <w:szCs w:val="24"/>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42"/>
                <w:szCs w:val="42"/>
                <w:b w:val="1"/>
                <w:bCs w:val="1"/>
                <w:color w:val="auto"/>
                <w:w w:val="99"/>
              </w:rPr>
              <w:t>KVH Industries, Inc.</w:t>
            </w:r>
          </w:p>
        </w:tc>
      </w:tr>
      <w:tr>
        <w:trPr>
          <w:trHeight w:val="230"/>
        </w:trPr>
        <w:tc>
          <w:tcPr>
            <w:tcW w:w="2460" w:type="dxa"/>
            <w:vAlign w:val="bottom"/>
          </w:tcPr>
          <w:p>
            <w:pPr>
              <w:spacing w:after="0"/>
              <w:rPr>
                <w:sz w:val="19"/>
                <w:szCs w:val="19"/>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53"/>
        </w:trPr>
        <w:tc>
          <w:tcPr>
            <w:tcW w:w="2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300" w:type="dxa"/>
            <w:vAlign w:val="bottom"/>
          </w:tcPr>
          <w:p>
            <w:pPr>
              <w:spacing w:after="0"/>
              <w:rPr>
                <w:sz w:val="4"/>
                <w:szCs w:val="4"/>
                <w:color w:val="auto"/>
              </w:rPr>
            </w:pPr>
          </w:p>
        </w:tc>
      </w:tr>
      <w:tr>
        <w:trPr>
          <w:trHeight w:val="297"/>
        </w:trPr>
        <w:tc>
          <w:tcPr>
            <w:tcW w:w="246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40" w:type="dxa"/>
            <w:vAlign w:val="bottom"/>
            <w:gridSpan w:val="2"/>
          </w:tcPr>
          <w:p>
            <w:pPr>
              <w:jc w:val="right"/>
              <w:ind w:right="1750"/>
              <w:spacing w:after="0"/>
              <w:rPr>
                <w:sz w:val="20"/>
                <w:szCs w:val="20"/>
                <w:color w:val="auto"/>
              </w:rPr>
            </w:pPr>
            <w:r>
              <w:rPr>
                <w:rFonts w:ascii="Times New Roman" w:cs="Times New Roman" w:eastAsia="Times New Roman" w:hAnsi="Times New Roman"/>
                <w:sz w:val="14"/>
                <w:szCs w:val="14"/>
                <w:b w:val="1"/>
                <w:bCs w:val="1"/>
                <w:color w:val="auto"/>
              </w:rPr>
              <w:t>05-0420589</w:t>
            </w:r>
          </w:p>
        </w:tc>
      </w:tr>
      <w:tr>
        <w:trPr>
          <w:trHeight w:val="19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740" w:type="dxa"/>
            <w:vAlign w:val="bottom"/>
          </w:tcPr>
          <w:p>
            <w:pPr>
              <w:spacing w:after="0"/>
              <w:rPr>
                <w:sz w:val="17"/>
                <w:szCs w:val="17"/>
                <w:color w:val="auto"/>
              </w:rPr>
            </w:pPr>
          </w:p>
        </w:tc>
        <w:tc>
          <w:tcPr>
            <w:tcW w:w="3300" w:type="dxa"/>
            <w:vAlign w:val="bottom"/>
          </w:tcPr>
          <w:p>
            <w:pPr>
              <w:jc w:val="center"/>
              <w:ind w:right="950"/>
              <w:spacing w:after="0"/>
              <w:rPr>
                <w:sz w:val="20"/>
                <w:szCs w:val="20"/>
                <w:color w:val="auto"/>
              </w:rPr>
            </w:pPr>
            <w:r>
              <w:rPr>
                <w:rFonts w:ascii="Times New Roman" w:cs="Times New Roman" w:eastAsia="Times New Roman" w:hAnsi="Times New Roman"/>
                <w:sz w:val="14"/>
                <w:szCs w:val="14"/>
                <w:i w:val="1"/>
                <w:iCs w:val="1"/>
                <w:color w:val="auto"/>
                <w:w w:val="99"/>
              </w:rPr>
              <w:t>(I.R.S. Employer Identification Number)</w:t>
            </w:r>
          </w:p>
        </w:tc>
      </w:tr>
      <w:tr>
        <w:trPr>
          <w:trHeight w:val="248"/>
        </w:trPr>
        <w:tc>
          <w:tcPr>
            <w:tcW w:w="2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580" w:type="dxa"/>
            <w:vAlign w:val="bottom"/>
            <w:gridSpan w:val="3"/>
          </w:tcPr>
          <w:p>
            <w:pPr>
              <w:jc w:val="center"/>
              <w:ind w:right="3230"/>
              <w:spacing w:after="0"/>
              <w:rPr>
                <w:sz w:val="20"/>
                <w:szCs w:val="20"/>
                <w:color w:val="auto"/>
              </w:rPr>
            </w:pPr>
            <w:r>
              <w:rPr>
                <w:rFonts w:ascii="Times New Roman" w:cs="Times New Roman" w:eastAsia="Times New Roman" w:hAnsi="Times New Roman"/>
                <w:sz w:val="14"/>
                <w:szCs w:val="14"/>
                <w:b w:val="1"/>
                <w:bCs w:val="1"/>
                <w:color w:val="auto"/>
                <w:w w:val="99"/>
              </w:rPr>
              <w:t>75 Enterprise Center, Middletown, RI 02842</w:t>
            </w:r>
          </w:p>
        </w:tc>
      </w:tr>
      <w:tr>
        <w:trPr>
          <w:trHeight w:val="157"/>
        </w:trPr>
        <w:tc>
          <w:tcPr>
            <w:tcW w:w="2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580" w:type="dxa"/>
            <w:vAlign w:val="bottom"/>
            <w:gridSpan w:val="3"/>
          </w:tcPr>
          <w:p>
            <w:pPr>
              <w:jc w:val="center"/>
              <w:ind w:right="3210"/>
              <w:spacing w:after="0" w:line="157" w:lineRule="exact"/>
              <w:rPr>
                <w:sz w:val="20"/>
                <w:szCs w:val="20"/>
                <w:color w:val="auto"/>
              </w:rPr>
            </w:pPr>
            <w:r>
              <w:rPr>
                <w:rFonts w:ascii="Times New Roman" w:cs="Times New Roman" w:eastAsia="Times New Roman" w:hAnsi="Times New Roman"/>
                <w:sz w:val="14"/>
                <w:szCs w:val="14"/>
                <w:i w:val="1"/>
                <w:iCs w:val="1"/>
                <w:color w:val="auto"/>
                <w:w w:val="99"/>
              </w:rPr>
              <w:t>(Address of Principal Executive Offices) (Zip Code)</w:t>
            </w:r>
          </w:p>
        </w:tc>
      </w:tr>
      <w:tr>
        <w:trPr>
          <w:trHeight w:val="172"/>
        </w:trPr>
        <w:tc>
          <w:tcPr>
            <w:tcW w:w="2460" w:type="dxa"/>
            <w:vAlign w:val="bottom"/>
          </w:tcPr>
          <w:p>
            <w:pPr>
              <w:spacing w:after="0"/>
              <w:rPr>
                <w:sz w:val="14"/>
                <w:szCs w:val="14"/>
                <w:color w:val="auto"/>
              </w:rPr>
            </w:pPr>
          </w:p>
        </w:tc>
        <w:tc>
          <w:tcPr>
            <w:tcW w:w="3020" w:type="dxa"/>
            <w:vAlign w:val="bottom"/>
            <w:gridSpan w:val="2"/>
          </w:tcPr>
          <w:p>
            <w:pPr>
              <w:jc w:val="center"/>
              <w:ind w:left="1112"/>
              <w:spacing w:after="0"/>
              <w:rPr>
                <w:sz w:val="20"/>
                <w:szCs w:val="20"/>
                <w:color w:val="auto"/>
              </w:rPr>
            </w:pPr>
            <w:r>
              <w:rPr>
                <w:rFonts w:ascii="Times New Roman" w:cs="Times New Roman" w:eastAsia="Times New Roman" w:hAnsi="Times New Roman"/>
                <w:sz w:val="14"/>
                <w:szCs w:val="14"/>
                <w:b w:val="1"/>
                <w:bCs w:val="1"/>
                <w:color w:val="auto"/>
              </w:rPr>
              <w:t>(401) 847-3327</w:t>
            </w:r>
          </w:p>
        </w:tc>
        <w:tc>
          <w:tcPr>
            <w:tcW w:w="74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2"/>
        </w:trPr>
        <w:tc>
          <w:tcPr>
            <w:tcW w:w="2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580" w:type="dxa"/>
            <w:vAlign w:val="bottom"/>
            <w:gridSpan w:val="3"/>
          </w:tcPr>
          <w:p>
            <w:pPr>
              <w:jc w:val="center"/>
              <w:ind w:right="3210"/>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r>
      <w:tr>
        <w:trPr>
          <w:trHeight w:val="89"/>
        </w:trPr>
        <w:tc>
          <w:tcPr>
            <w:tcW w:w="2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80" w:type="dxa"/>
            <w:vAlign w:val="bottom"/>
            <w:tcBorders>
              <w:bottom w:val="single" w:sz="8" w:color="auto"/>
            </w:tcBorders>
            <w:gridSpan w:val="2"/>
          </w:tcPr>
          <w:p>
            <w:pPr>
              <w:spacing w:after="0"/>
              <w:rPr>
                <w:sz w:val="7"/>
                <w:szCs w:val="7"/>
                <w:color w:val="auto"/>
              </w:rPr>
            </w:pPr>
          </w:p>
        </w:tc>
        <w:tc>
          <w:tcPr>
            <w:tcW w:w="3300" w:type="dxa"/>
            <w:vAlign w:val="bottom"/>
          </w:tcPr>
          <w:p>
            <w:pPr>
              <w:spacing w:after="0"/>
              <w:rPr>
                <w:sz w:val="7"/>
                <w:szCs w:val="7"/>
                <w:color w:val="auto"/>
              </w:rPr>
            </w:pPr>
          </w:p>
        </w:tc>
      </w:tr>
      <w:tr>
        <w:trPr>
          <w:trHeight w:val="270"/>
        </w:trPr>
        <w:tc>
          <w:tcPr>
            <w:tcW w:w="2460" w:type="dxa"/>
            <w:vAlign w:val="bottom"/>
          </w:tcPr>
          <w:p>
            <w:pPr>
              <w:spacing w:after="0"/>
              <w:rPr>
                <w:sz w:val="23"/>
                <w:szCs w:val="23"/>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17"/>
                <w:szCs w:val="17"/>
                <w:i w:val="1"/>
                <w:iCs w:val="1"/>
                <w:color w:val="auto"/>
              </w:rPr>
              <w:t>Securities registered pursuant to Section 12(b) of the Act:</w:t>
            </w:r>
          </w:p>
        </w:tc>
      </w:tr>
      <w:tr>
        <w:trPr>
          <w:trHeight w:val="184"/>
        </w:trPr>
        <w:tc>
          <w:tcPr>
            <w:tcW w:w="24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6"/>
                <w:szCs w:val="16"/>
                <w:color w:val="auto"/>
              </w:rPr>
            </w:pPr>
          </w:p>
        </w:tc>
        <w:tc>
          <w:tcPr>
            <w:tcW w:w="2540" w:type="dxa"/>
            <w:vAlign w:val="bottom"/>
          </w:tcPr>
          <w:p>
            <w:pPr>
              <w:jc w:val="center"/>
              <w:ind w:left="1007"/>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740" w:type="dxa"/>
            <w:vAlign w:val="bottom"/>
          </w:tcPr>
          <w:p>
            <w:pPr>
              <w:spacing w:after="0"/>
              <w:rPr>
                <w:sz w:val="16"/>
                <w:szCs w:val="16"/>
                <w:color w:val="auto"/>
              </w:rPr>
            </w:pPr>
          </w:p>
        </w:tc>
        <w:tc>
          <w:tcPr>
            <w:tcW w:w="330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96"/>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23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480" w:type="dxa"/>
            <w:vAlign w:val="bottom"/>
          </w:tcPr>
          <w:p>
            <w:pPr>
              <w:spacing w:after="0"/>
              <w:rPr>
                <w:sz w:val="20"/>
                <w:szCs w:val="20"/>
                <w:color w:val="auto"/>
              </w:rPr>
            </w:pPr>
          </w:p>
        </w:tc>
        <w:tc>
          <w:tcPr>
            <w:tcW w:w="2540" w:type="dxa"/>
            <w:vAlign w:val="bottom"/>
          </w:tcPr>
          <w:p>
            <w:pPr>
              <w:jc w:val="center"/>
              <w:ind w:left="1007"/>
              <w:spacing w:after="0"/>
              <w:rPr>
                <w:sz w:val="20"/>
                <w:szCs w:val="20"/>
                <w:color w:val="auto"/>
              </w:rPr>
            </w:pPr>
            <w:r>
              <w:rPr>
                <w:rFonts w:ascii="Times New Roman" w:cs="Times New Roman" w:eastAsia="Times New Roman" w:hAnsi="Times New Roman"/>
                <w:sz w:val="14"/>
                <w:szCs w:val="14"/>
                <w:color w:val="auto"/>
                <w:w w:val="97"/>
              </w:rPr>
              <w:t>KVHI</w:t>
            </w:r>
          </w:p>
        </w:tc>
        <w:tc>
          <w:tcPr>
            <w:tcW w:w="740" w:type="dxa"/>
            <w:vAlign w:val="bottom"/>
          </w:tcPr>
          <w:p>
            <w:pPr>
              <w:spacing w:after="0"/>
              <w:rPr>
                <w:sz w:val="20"/>
                <w:szCs w:val="20"/>
                <w:color w:val="auto"/>
              </w:rPr>
            </w:pPr>
          </w:p>
        </w:tc>
        <w:tc>
          <w:tcPr>
            <w:tcW w:w="3300" w:type="dxa"/>
            <w:vAlign w:val="bottom"/>
          </w:tcPr>
          <w:p>
            <w:pPr>
              <w:jc w:val="center"/>
              <w:ind w:left="530"/>
              <w:spacing w:after="0"/>
              <w:rPr>
                <w:sz w:val="20"/>
                <w:szCs w:val="20"/>
                <w:color w:val="auto"/>
              </w:rPr>
            </w:pPr>
            <w:r>
              <w:rPr>
                <w:rFonts w:ascii="Times New Roman" w:cs="Times New Roman" w:eastAsia="Times New Roman" w:hAnsi="Times New Roman"/>
                <w:sz w:val="14"/>
                <w:szCs w:val="14"/>
                <w:color w:val="auto"/>
                <w:w w:val="99"/>
              </w:rPr>
              <w:t>(Nasdaq Global Select Market)</w:t>
            </w:r>
          </w:p>
        </w:tc>
      </w:tr>
    </w:tbl>
    <w:p>
      <w:pPr>
        <w:spacing w:after="0" w:line="200" w:lineRule="exact"/>
        <w:rPr>
          <w:sz w:val="24"/>
          <w:szCs w:val="24"/>
          <w:color w:val="auto"/>
        </w:rPr>
      </w:pPr>
    </w:p>
    <w:p>
      <w:pPr>
        <w:spacing w:after="0" w:line="368"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tabs>
          <w:tab w:leader="none" w:pos="1320" w:val="left"/>
        </w:tabs>
        <w:rPr>
          <w:sz w:val="20"/>
          <w:szCs w:val="20"/>
          <w:color w:val="auto"/>
        </w:rPr>
      </w:pPr>
      <w:r>
        <w:rPr>
          <w:rFonts w:ascii="Times New Roman" w:cs="Times New Roman" w:eastAsia="Times New Roman" w:hAnsi="Times New Roman"/>
          <w:sz w:val="17"/>
          <w:szCs w:val="17"/>
          <w:color w:val="auto"/>
        </w:rPr>
        <w:t>the past 90 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60" w:val="left"/>
          <w:tab w:leader="none" w:pos="1180" w:val="left"/>
        </w:tabs>
        <w:rPr>
          <w:sz w:val="20"/>
          <w:szCs w:val="20"/>
          <w:color w:val="auto"/>
        </w:rPr>
      </w:pPr>
      <w:r>
        <w:rPr>
          <w:rFonts w:ascii="Times New Roman" w:cs="Times New Roman" w:eastAsia="Times New Roman" w:hAnsi="Times New Roman"/>
          <w:sz w:val="17"/>
          <w:szCs w:val="17"/>
          <w:color w:val="auto"/>
        </w:rPr>
        <w:t>files).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Rule 12b-2 of the Exchange Act.</w:t>
      </w:r>
    </w:p>
    <w:tbl>
      <w:tblPr>
        <w:tblLayout w:type="fixed"/>
        <w:tblInd w:w="20" w:type="dxa"/>
        <w:tblCellMar>
          <w:top w:w="0" w:type="dxa"/>
          <w:left w:w="0" w:type="dxa"/>
          <w:bottom w:w="0" w:type="dxa"/>
          <w:right w:w="0" w:type="dxa"/>
        </w:tblCellMar>
      </w:tblPr>
      <w:tr>
        <w:trPr>
          <w:trHeight w:val="191"/>
        </w:trPr>
        <w:tc>
          <w:tcPr>
            <w:tcW w:w="18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Large accelerated filer</w:t>
            </w:r>
          </w:p>
        </w:tc>
        <w:tc>
          <w:tcPr>
            <w:tcW w:w="33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900"/>
              <w:spacing w:after="0" w:line="191" w:lineRule="exact"/>
              <w:rPr>
                <w:sz w:val="20"/>
                <w:szCs w:val="20"/>
                <w:color w:val="auto"/>
              </w:rPr>
            </w:pPr>
            <w:r>
              <w:rPr>
                <w:rFonts w:ascii="Times New Roman" w:cs="Times New Roman" w:eastAsia="Times New Roman" w:hAnsi="Times New Roman"/>
                <w:sz w:val="17"/>
                <w:szCs w:val="17"/>
                <w:color w:val="auto"/>
              </w:rPr>
              <w:t>Accelerated filer</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4"/>
        </w:trPr>
        <w:tc>
          <w:tcPr>
            <w:tcW w:w="1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Emerging growth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6"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3" w:lineRule="exact"/>
        <w:rPr>
          <w:sz w:val="24"/>
          <w:szCs w:val="24"/>
          <w:color w:val="auto"/>
        </w:rPr>
      </w:pPr>
    </w:p>
    <w:p>
      <w:pPr>
        <w:spacing w:after="0" w:line="196" w:lineRule="exact"/>
        <w:tabs>
          <w:tab w:leader="none" w:pos="8080" w:val="left"/>
          <w:tab w:leader="none" w:pos="8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660" w:type="dxa"/>
            <w:vAlign w:val="bottom"/>
            <w:gridSpan w:val="2"/>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80" w:type="dxa"/>
            <w:vAlign w:val="bottom"/>
          </w:tcPr>
          <w:p>
            <w:pPr>
              <w:spacing w:after="0"/>
              <w:rPr>
                <w:sz w:val="13"/>
                <w:szCs w:val="13"/>
                <w:color w:val="auto"/>
              </w:rPr>
            </w:pPr>
          </w:p>
        </w:tc>
        <w:tc>
          <w:tcPr>
            <w:tcW w:w="3560" w:type="dxa"/>
            <w:vAlign w:val="bottom"/>
            <w:gridSpan w:val="2"/>
          </w:tcPr>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4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9"/>
              </w:rPr>
              <w:t>Outstanding shares</w:t>
            </w:r>
          </w:p>
        </w:tc>
      </w:tr>
      <w:tr>
        <w:trPr>
          <w:trHeight w:val="20"/>
        </w:trPr>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5"/>
        </w:trPr>
        <w:tc>
          <w:tcPr>
            <w:tcW w:w="3160" w:type="dxa"/>
            <w:vAlign w:val="bottom"/>
            <w:gridSpan w:val="3"/>
          </w:tcPr>
          <w:p>
            <w:pPr>
              <w:jc w:val="center"/>
              <w:ind w:left="33"/>
              <w:spacing w:after="0"/>
              <w:rPr>
                <w:sz w:val="20"/>
                <w:szCs w:val="20"/>
                <w:color w:val="auto"/>
              </w:rPr>
            </w:pPr>
            <w:r>
              <w:rPr>
                <w:rFonts w:ascii="Times New Roman" w:cs="Times New Roman" w:eastAsia="Times New Roman" w:hAnsi="Times New Roman"/>
                <w:sz w:val="17"/>
                <w:szCs w:val="17"/>
                <w:color w:val="auto"/>
              </w:rPr>
              <w:t>August 4, 2025</w:t>
            </w:r>
          </w:p>
        </w:tc>
        <w:tc>
          <w:tcPr>
            <w:tcW w:w="5840" w:type="dxa"/>
            <w:vAlign w:val="bottom"/>
            <w:gridSpan w:val="3"/>
          </w:tcPr>
          <w:p>
            <w:pPr>
              <w:jc w:val="center"/>
              <w:ind w:right="940"/>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rPr>
              <w:t>19,504,764</w:t>
            </w:r>
          </w:p>
        </w:tc>
        <w:tc>
          <w:tcPr>
            <w:tcW w:w="1080" w:type="dxa"/>
            <w:vAlign w:val="bottom"/>
          </w:tcPr>
          <w:p>
            <w:pPr>
              <w:spacing w:after="0"/>
              <w:rPr>
                <w:sz w:val="22"/>
                <w:szCs w:val="22"/>
                <w:color w:val="auto"/>
              </w:rPr>
            </w:pPr>
          </w:p>
        </w:tc>
      </w:tr>
      <w:tr>
        <w:trPr>
          <w:trHeight w:val="1002"/>
        </w:trPr>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560" w:type="dxa"/>
            <w:vAlign w:val="bottom"/>
            <w:gridSpan w:val="10"/>
          </w:tcPr>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KVH INDUSTRIES, INC. AND SUBSIDIARIES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80" w:type="dxa"/>
            <w:vAlign w:val="bottom"/>
            <w:gridSpan w:val="8"/>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180" w:type="dxa"/>
            <w:vAlign w:val="bottom"/>
            <w:gridSpan w:val="8"/>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7160" w:type="dxa"/>
            <w:vAlign w:val="bottom"/>
            <w:gridSpan w:val="11"/>
            <w:vMerge w:val="restart"/>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9"/>
              </w:rPr>
              <w:t>Page No.</w:t>
            </w:r>
          </w:p>
        </w:tc>
        <w:tc>
          <w:tcPr>
            <w:tcW w:w="0" w:type="dxa"/>
            <w:vAlign w:val="bottom"/>
          </w:tcPr>
          <w:p>
            <w:pPr>
              <w:spacing w:after="0"/>
              <w:rPr>
                <w:sz w:val="1"/>
                <w:szCs w:val="1"/>
                <w:color w:val="auto"/>
              </w:rPr>
            </w:pPr>
          </w:p>
        </w:tc>
      </w:tr>
      <w:tr>
        <w:trPr>
          <w:trHeight w:val="208"/>
        </w:trPr>
        <w:tc>
          <w:tcPr>
            <w:tcW w:w="160" w:type="dxa"/>
            <w:vAlign w:val="bottom"/>
          </w:tcPr>
          <w:p>
            <w:pPr>
              <w:spacing w:after="0"/>
              <w:rPr>
                <w:sz w:val="17"/>
                <w:szCs w:val="17"/>
                <w:color w:val="auto"/>
              </w:rPr>
            </w:pPr>
          </w:p>
        </w:tc>
        <w:tc>
          <w:tcPr>
            <w:tcW w:w="2980" w:type="dxa"/>
            <w:vAlign w:val="bottom"/>
            <w:tcBorders>
              <w:bottom w:val="single" w:sz="8" w:color="0000FF"/>
            </w:tcBorders>
            <w:gridSpan w:val="6"/>
            <w:vMerge w:val="continue"/>
          </w:tcPr>
          <w:p>
            <w:pPr>
              <w:spacing w:after="0"/>
              <w:rPr>
                <w:sz w:val="17"/>
                <w:szCs w:val="17"/>
                <w:color w:val="auto"/>
              </w:rPr>
            </w:pPr>
          </w:p>
        </w:tc>
        <w:tc>
          <w:tcPr>
            <w:tcW w:w="7160" w:type="dxa"/>
            <w:vAlign w:val="bottom"/>
            <w:gridSpan w:val="11"/>
            <w:vMerge w:val="continue"/>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2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INTERIM FINANCIAL STATEMENTS</w:t>
            </w:r>
          </w:p>
        </w:tc>
        <w:tc>
          <w:tcPr>
            <w:tcW w:w="622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Balance Sheets as of June 30, 2025 (unaudited) and December 31, 2024</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three and six months ended June 30, 2025 and 2024 (unaudited)</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 (Loss) for the three and six months ended June 30, 2025 and 2024</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150"/>
        </w:trPr>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80" w:type="dxa"/>
            <w:vAlign w:val="bottom"/>
            <w:tcBorders>
              <w:top w:val="single" w:sz="8" w:color="0000FF"/>
            </w:tcBorders>
            <w:gridSpan w:val="12"/>
          </w:tcPr>
          <w:p>
            <w:pPr>
              <w:spacing w:after="0" w:line="150" w:lineRule="exact"/>
              <w:rPr>
                <w:sz w:val="20"/>
                <w:szCs w:val="20"/>
                <w:color w:val="auto"/>
              </w:rPr>
            </w:pPr>
            <w:r>
              <w:rPr>
                <w:rFonts w:ascii="Times New Roman" w:cs="Times New Roman" w:eastAsia="Times New Roman" w:hAnsi="Times New Roman"/>
                <w:sz w:val="17"/>
                <w:szCs w:val="17"/>
                <w:color w:val="0000FF"/>
              </w:rPr>
              <w:t>(unaudited)</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three and six months ended June 30, 2025 and 2024 (unaudited)</w:t>
            </w:r>
          </w:p>
        </w:tc>
        <w:tc>
          <w:tcPr>
            <w:tcW w:w="6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six months ended June 30, 2025 and 2024 (unaudited)</w:t>
            </w:r>
          </w:p>
        </w:tc>
        <w:tc>
          <w:tcPr>
            <w:tcW w:w="6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 (unaudited)</w:t>
            </w:r>
          </w:p>
        </w:tc>
        <w:tc>
          <w:tcPr>
            <w:tcW w:w="198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0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276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86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4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140" w:type="dxa"/>
            <w:vAlign w:val="bottom"/>
            <w:gridSpan w:val="17"/>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12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400" w:type="dxa"/>
            <w:vAlign w:val="bottom"/>
            <w:tcBorders>
              <w:top w:val="single" w:sz="8" w:color="0000FF"/>
            </w:tcBorders>
          </w:tcPr>
          <w:p>
            <w:pPr>
              <w:spacing w:after="0"/>
              <w:rPr>
                <w:sz w:val="17"/>
                <w:szCs w:val="17"/>
                <w:color w:val="auto"/>
              </w:rPr>
            </w:pPr>
          </w:p>
        </w:tc>
        <w:tc>
          <w:tcPr>
            <w:tcW w:w="7460" w:type="dxa"/>
            <w:vAlign w:val="bottom"/>
            <w:gridSpan w:val="12"/>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0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080" w:type="dxa"/>
            <w:vAlign w:val="bottom"/>
            <w:gridSpan w:val="7"/>
            <w:shd w:val="clear" w:color="auto" w:fill="0000FF"/>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800" w:type="dxa"/>
            <w:vAlign w:val="bottom"/>
          </w:tcPr>
          <w:p>
            <w:pPr>
              <w:spacing w:after="0"/>
              <w:rPr>
                <w:sz w:val="20"/>
                <w:szCs w:val="20"/>
                <w:color w:val="auto"/>
              </w:rPr>
            </w:pPr>
            <w:r>
              <w:rPr>
                <w:rFonts w:ascii="Times New Roman" w:cs="Times New Roman" w:eastAsia="Times New Roman" w:hAnsi="Times New Roman"/>
                <w:sz w:val="17"/>
                <w:szCs w:val="17"/>
                <w:color w:val="0000FF"/>
              </w:rPr>
              <w:t>EXHIBITS</w:t>
            </w:r>
          </w:p>
        </w:tc>
        <w:tc>
          <w:tcPr>
            <w:tcW w:w="5080" w:type="dxa"/>
            <w:vAlign w:val="bottom"/>
            <w:gridSpan w:val="7"/>
          </w:tcPr>
          <w:p>
            <w:pPr>
              <w:spacing w:after="0"/>
              <w:rPr>
                <w:sz w:val="17"/>
                <w:szCs w:val="17"/>
                <w:color w:val="auto"/>
              </w:rPr>
            </w:pPr>
          </w:p>
        </w:tc>
        <w:tc>
          <w:tcPr>
            <w:tcW w:w="3200" w:type="dxa"/>
            <w:vAlign w:val="bottom"/>
            <w:gridSpan w:val="7"/>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6"/>
        </w:trPr>
        <w:tc>
          <w:tcPr>
            <w:tcW w:w="160" w:type="dxa"/>
            <w:vAlign w:val="bottom"/>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8"/>
          </w:tcPr>
          <w:p>
            <w:pPr>
              <w:jc w:val="center"/>
              <w:ind w:left="2833"/>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50,572</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$987 and $1,006 as of June 30, 2025 and December 31, 2024, respectively</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21,624</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22,953</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16,016</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122,999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122,575</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27,014</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0" w:type="dxa"/>
            <w:vAlign w:val="bottom"/>
          </w:tcPr>
          <w:p>
            <w:pPr>
              <w:spacing w:after="0"/>
              <w:rPr>
                <w:sz w:val="1"/>
                <w:szCs w:val="1"/>
                <w:color w:val="auto"/>
              </w:rPr>
            </w:pPr>
          </w:p>
        </w:tc>
      </w:tr>
      <w:tr>
        <w:trPr>
          <w:trHeight w:val="19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6"/>
        </w:trPr>
        <w:tc>
          <w:tcPr>
            <w:tcW w:w="80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152,041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155,081</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LIABILITIES AND STOCKHOLDERS’ EQUITY</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airtime</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compensation and employee-related expenses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loss on future firm purchase commitments</w:t>
            </w:r>
          </w:p>
        </w:tc>
        <w:tc>
          <w:tcPr>
            <w:tcW w:w="2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other</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product warranty costs</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Current operating lease liability</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15,872</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13,657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16,456</w:t>
            </w:r>
          </w:p>
        </w:tc>
        <w:tc>
          <w:tcPr>
            <w:tcW w:w="0" w:type="dxa"/>
            <w:vAlign w:val="bottom"/>
          </w:tcPr>
          <w:p>
            <w:pPr>
              <w:spacing w:after="0"/>
              <w:rPr>
                <w:sz w:val="1"/>
                <w:szCs w:val="1"/>
                <w:color w:val="auto"/>
              </w:rPr>
            </w:pPr>
          </w:p>
        </w:tc>
      </w:tr>
      <w:tr>
        <w:trPr>
          <w:trHeight w:val="16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2, 11, and 16)</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none issued</w:t>
            </w:r>
          </w:p>
        </w:tc>
        <w:tc>
          <w:tcPr>
            <w:tcW w:w="2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808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Common stock, $0.01 par value. Authorized 30,000,000 shares; 21,223,892 and 21,240,525 shares issued at June 30, 2025 and</w:t>
            </w:r>
          </w:p>
        </w:tc>
        <w:tc>
          <w:tcPr>
            <w:tcW w:w="2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8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4"/>
                <w:szCs w:val="14"/>
                <w:color w:val="auto"/>
                <w:w w:val="99"/>
              </w:rPr>
              <w:t>December 31, 2024, respectively; and 19,525,435 and 19,784,416 shares outstanding at June 30, 2025 and December 31, 2024,</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93"/>
        </w:trPr>
        <w:tc>
          <w:tcPr>
            <w:tcW w:w="8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respectively</w:t>
            </w:r>
          </w:p>
        </w:tc>
        <w:tc>
          <w:tcPr>
            <w:tcW w:w="22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167,287</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(12,752)</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150,715</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Less: treasury stock at cost, common stock, 1,698,457 and 1,456,109 shares as of June 30, 2025 and December 31, 2024, respectively.</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138,384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138,625</w:t>
            </w:r>
          </w:p>
        </w:tc>
        <w:tc>
          <w:tcPr>
            <w:tcW w:w="0" w:type="dxa"/>
            <w:vAlign w:val="bottom"/>
          </w:tcPr>
          <w:p>
            <w:pPr>
              <w:spacing w:after="0"/>
              <w:rPr>
                <w:sz w:val="1"/>
                <w:szCs w:val="1"/>
                <w:color w:val="auto"/>
              </w:rPr>
            </w:pPr>
          </w:p>
        </w:tc>
      </w:tr>
      <w:tr>
        <w:trPr>
          <w:trHeight w:val="196"/>
        </w:trPr>
        <w:tc>
          <w:tcPr>
            <w:tcW w:w="80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152,041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155,081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earnings per share amounts,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65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23,049</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24,674</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44,691</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49,712</w:t>
            </w:r>
          </w:p>
        </w:tc>
      </w:tr>
      <w:tr>
        <w:trPr>
          <w:trHeight w:val="22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8,228</w:t>
            </w:r>
          </w:p>
        </w:tc>
      </w:tr>
      <w:tr>
        <w:trPr>
          <w:trHeight w:val="216"/>
        </w:trPr>
        <w:tc>
          <w:tcPr>
            <w:tcW w:w="6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sales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52,037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57,940</w:t>
            </w:r>
          </w:p>
        </w:tc>
      </w:tr>
      <w:tr>
        <w:trPr>
          <w:trHeight w:val="20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Costs of service sales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29,513</w:t>
            </w:r>
          </w:p>
        </w:tc>
      </w:tr>
      <w:tr>
        <w:trPr>
          <w:trHeight w:val="22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of product sales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9,607</w:t>
            </w: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5,364</w:t>
            </w:r>
          </w:p>
        </w:tc>
      </w:tr>
      <w:tr>
        <w:trPr>
          <w:trHeight w:val="22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10,718</w:t>
            </w:r>
          </w:p>
        </w:tc>
      </w:tr>
      <w:tr>
        <w:trPr>
          <w:trHeight w:val="223"/>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9,425</w:t>
            </w:r>
          </w:p>
        </w:tc>
      </w:tr>
      <w:tr>
        <w:trPr>
          <w:trHeight w:val="216"/>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31,562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64,627</w:t>
            </w:r>
          </w:p>
        </w:tc>
      </w:tr>
      <w:tr>
        <w:trPr>
          <w:trHeight w:val="216"/>
        </w:trPr>
        <w:tc>
          <w:tcPr>
            <w:tcW w:w="65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(6,687)</w:t>
            </w:r>
          </w:p>
        </w:tc>
      </w:tr>
      <w:tr>
        <w:trPr>
          <w:trHeight w:val="22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w:t>
            </w:r>
          </w:p>
        </w:tc>
      </w:tr>
      <w:tr>
        <w:trPr>
          <w:trHeight w:val="223"/>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w:t>
            </w:r>
          </w:p>
        </w:tc>
      </w:tr>
      <w:tr>
        <w:trPr>
          <w:trHeight w:val="216"/>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Income (loss) before income tax expense (benefit)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(5,464)</w:t>
            </w:r>
          </w:p>
        </w:tc>
      </w:tr>
      <w:tr>
        <w:trPr>
          <w:trHeight w:val="22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41"/>
        </w:trPr>
        <w:tc>
          <w:tcPr>
            <w:tcW w:w="6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(2,376)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(5,539)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(0.12)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(0.29)</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0"/>
        </w:trPr>
        <w:tc>
          <w:tcPr>
            <w:tcW w:w="6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19,401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19,381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19,446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19,333</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0"/>
        </w:trPr>
        <w:tc>
          <w:tcPr>
            <w:tcW w:w="6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19,441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19,446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19,333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44"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4"/>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6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4"/>
        </w:trPr>
        <w:tc>
          <w:tcPr>
            <w:tcW w:w="65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(5,539)</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 net of tax:</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16"/>
        </w:trPr>
        <w:tc>
          <w:tcPr>
            <w:tcW w:w="65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comprehensive income (loss), net of tax</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41"/>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income (loss)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Tax impact was nominal for all periods.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44"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20" w:type="dxa"/>
            <w:vAlign w:val="bottom"/>
          </w:tcPr>
          <w:p>
            <w:pPr>
              <w:spacing w:after="0"/>
              <w:rPr>
                <w:sz w:val="12"/>
                <w:szCs w:val="12"/>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12"/>
                <w:szCs w:val="12"/>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94"/>
              <w:spacing w:after="0" w:line="12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Deficit</w:t>
            </w:r>
          </w:p>
        </w:tc>
        <w:tc>
          <w:tcPr>
            <w:tcW w:w="1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4"/>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21,220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167,624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(14,462)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(3,310)</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137,811</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930</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168,082</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(13,532)</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(3,032)</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(1,698)</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(13,346)</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138,384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100" w:type="dxa"/>
            <w:vAlign w:val="bottom"/>
            <w:tcBorders>
              <w:top w:val="single" w:sz="8" w:color="CCEEFF"/>
              <w:bottom w:val="single" w:sz="8" w:color="auto"/>
            </w:tcBorders>
            <w:gridSpan w:val="5"/>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2420" w:type="dxa"/>
            <w:vAlign w:val="bottom"/>
          </w:tcPr>
          <w:p>
            <w:pPr>
              <w:spacing w:after="0"/>
              <w:rPr>
                <w:sz w:val="24"/>
                <w:szCs w:val="24"/>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24"/>
                <w:szCs w:val="24"/>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94"/>
              <w:spacing w:after="0" w:line="12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Deficit</w:t>
            </w:r>
          </w:p>
        </w:tc>
        <w:tc>
          <w:tcPr>
            <w:tcW w:w="1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4"/>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21,241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167,287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(12,752)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(4,032)</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138,625</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771</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168,082</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(13,532)</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(3,032)</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(1,698)</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(13,346)</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138,384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100" w:type="dxa"/>
            <w:vAlign w:val="bottom"/>
            <w:tcBorders>
              <w:top w:val="single" w:sz="8" w:color="CCEEFF"/>
              <w:bottom w:val="single" w:sz="8" w:color="auto"/>
            </w:tcBorders>
            <w:gridSpan w:val="5"/>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2420" w:type="dxa"/>
            <w:vAlign w:val="bottom"/>
          </w:tcPr>
          <w:p>
            <w:pPr>
              <w:spacing w:after="0"/>
              <w:rPr>
                <w:sz w:val="24"/>
                <w:szCs w:val="24"/>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24"/>
                <w:szCs w:val="24"/>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52"/>
        </w:trPr>
        <w:tc>
          <w:tcPr>
            <w:tcW w:w="24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60"/>
              <w:spacing w:after="0" w:line="53" w:lineRule="exact"/>
              <w:rPr>
                <w:sz w:val="20"/>
                <w:szCs w:val="20"/>
                <w:color w:val="auto"/>
              </w:rPr>
            </w:pPr>
            <w:r>
              <w:rPr>
                <w:rFonts w:ascii="Times New Roman" w:cs="Times New Roman" w:eastAsia="Times New Roman" w:hAnsi="Times New Roman"/>
                <w:sz w:val="6"/>
                <w:szCs w:val="6"/>
                <w:b w:val="1"/>
                <w:bCs w:val="1"/>
                <w:color w:val="auto"/>
              </w:rPr>
              <w:t>Paid-in</w:t>
            </w: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tcPr>
          <w:p>
            <w:pPr>
              <w:jc w:val="center"/>
              <w:ind w:right="28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jc w:val="center"/>
              <w:ind w:right="94"/>
              <w:spacing w:after="0" w:line="53" w:lineRule="exact"/>
              <w:rPr>
                <w:sz w:val="20"/>
                <w:szCs w:val="20"/>
                <w:color w:val="auto"/>
              </w:rPr>
            </w:pPr>
            <w:r>
              <w:rPr>
                <w:rFonts w:ascii="Times New Roman" w:cs="Times New Roman" w:eastAsia="Times New Roman" w:hAnsi="Times New Roman"/>
                <w:sz w:val="6"/>
                <w:szCs w:val="6"/>
                <w:b w:val="1"/>
                <w:bCs w:val="1"/>
                <w:color w:val="auto"/>
              </w:rPr>
              <w:t>Stockholders’</w:t>
            </w:r>
          </w:p>
        </w:tc>
        <w:tc>
          <w:tcPr>
            <w:tcW w:w="0" w:type="dxa"/>
            <w:vAlign w:val="bottom"/>
          </w:tcPr>
          <w:p>
            <w:pPr>
              <w:spacing w:after="0"/>
              <w:rPr>
                <w:sz w:val="1"/>
                <w:szCs w:val="1"/>
                <w:color w:val="auto"/>
              </w:rPr>
            </w:pPr>
          </w:p>
        </w:tc>
      </w:tr>
      <w:tr>
        <w:trPr>
          <w:trHeight w:val="185"/>
        </w:trPr>
        <w:tc>
          <w:tcPr>
            <w:tcW w:w="2420" w:type="dxa"/>
            <w:vAlign w:val="bottom"/>
          </w:tcPr>
          <w:p>
            <w:pPr>
              <w:spacing w:after="0"/>
              <w:rPr>
                <w:sz w:val="16"/>
                <w:szCs w:val="16"/>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Deficit</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6"/>
                <w:szCs w:val="16"/>
                <w:color w:val="auto"/>
              </w:rPr>
            </w:pPr>
          </w:p>
        </w:tc>
        <w:tc>
          <w:tcPr>
            <w:tcW w:w="1000" w:type="dxa"/>
            <w:vAlign w:val="bottom"/>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4"/>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21,205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165,768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(4,867)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(3,956)</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145,067</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21,170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166,490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(7,243)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(3,991)</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143,378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420" w:type="dxa"/>
            <w:vAlign w:val="bottom"/>
          </w:tcPr>
          <w:p>
            <w:pPr>
              <w:spacing w:after="0"/>
              <w:rPr>
                <w:sz w:val="24"/>
                <w:szCs w:val="24"/>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24"/>
                <w:szCs w:val="24"/>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280"/>
              <w:spacing w:after="0" w:line="12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restart"/>
          </w:tcPr>
          <w:p>
            <w:pPr>
              <w:jc w:val="center"/>
              <w:ind w:right="94"/>
              <w:spacing w:after="0" w:line="124"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Deficit</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4"/>
                <w:szCs w:val="14"/>
                <w:color w:val="auto"/>
              </w:rPr>
            </w:pPr>
          </w:p>
        </w:tc>
        <w:tc>
          <w:tcPr>
            <w:tcW w:w="1000" w:type="dxa"/>
            <w:vAlign w:val="bottom"/>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21,067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165,140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21,170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166,490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143,378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744"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ind w:left="480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4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tcPr>
          <w:p>
            <w:pPr>
              <w:jc w:val="right"/>
              <w:ind w:right="6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Pr>
          <w:p>
            <w:pPr>
              <w:spacing w:after="0"/>
              <w:rPr>
                <w:sz w:val="18"/>
                <w:szCs w:val="18"/>
                <w:color w:val="auto"/>
              </w:rPr>
            </w:pPr>
          </w:p>
        </w:tc>
        <w:tc>
          <w:tcPr>
            <w:tcW w:w="50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6,985</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(Gain) loss on disposals of fixed assets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1,211</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Gain on sale of fixed assets located at 50 Enterprise Center Middletown, Rhode Island</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Compensation expense related to stock-based awards and employee stock purchase plan</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1,244</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Unrealized currency translation loss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receivable</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Inventories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(14,867)</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non-current assets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4,841</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revenue</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8"/>
        </w:trPr>
        <w:tc>
          <w:tcPr>
            <w:tcW w:w="84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Accrued compensation, product warranty and other</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(4,666)</w:t>
            </w:r>
          </w:p>
        </w:tc>
        <w:tc>
          <w:tcPr>
            <w:tcW w:w="0" w:type="dxa"/>
            <w:vAlign w:val="bottom"/>
          </w:tcPr>
          <w:p>
            <w:pPr>
              <w:spacing w:after="0"/>
              <w:rPr>
                <w:sz w:val="1"/>
                <w:szCs w:val="1"/>
                <w:color w:val="auto"/>
              </w:rPr>
            </w:pPr>
          </w:p>
        </w:tc>
      </w:tr>
      <w:tr>
        <w:trPr>
          <w:trHeight w:val="204"/>
        </w:trPr>
        <w:tc>
          <w:tcPr>
            <w:tcW w:w="84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80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3,819</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(15,457)</w:t>
            </w:r>
          </w:p>
        </w:tc>
        <w:tc>
          <w:tcPr>
            <w:tcW w:w="0" w:type="dxa"/>
            <w:vAlign w:val="bottom"/>
          </w:tcPr>
          <w:p>
            <w:pPr>
              <w:spacing w:after="0"/>
              <w:rPr>
                <w:sz w:val="1"/>
                <w:szCs w:val="1"/>
                <w:color w:val="auto"/>
              </w:rPr>
            </w:pPr>
          </w:p>
        </w:tc>
      </w:tr>
      <w:tr>
        <w:trPr>
          <w:trHeight w:val="189"/>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Capital expenditures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paid for acquisition of intangible asset</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the sale of fixed assets located at 50 Enterprise Center Middletown, Rhode Island</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0" w:type="dxa"/>
            <w:vAlign w:val="bottom"/>
          </w:tcPr>
          <w:p>
            <w:pPr>
              <w:spacing w:after="0"/>
              <w:rPr>
                <w:sz w:val="1"/>
                <w:szCs w:val="1"/>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Maturities and sales of marketable securities</w:t>
            </w:r>
          </w:p>
        </w:tc>
        <w:tc>
          <w:tcPr>
            <w:tcW w:w="8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21,000</w:t>
            </w:r>
          </w:p>
        </w:tc>
        <w:tc>
          <w:tcPr>
            <w:tcW w:w="0" w:type="dxa"/>
            <w:vAlign w:val="bottom"/>
          </w:tcPr>
          <w:p>
            <w:pPr>
              <w:spacing w:after="0"/>
              <w:rPr>
                <w:sz w:val="1"/>
                <w:szCs w:val="1"/>
                <w:color w:val="auto"/>
              </w:rPr>
            </w:pPr>
          </w:p>
        </w:tc>
      </w:tr>
      <w:tr>
        <w:trPr>
          <w:trHeight w:val="204"/>
        </w:trPr>
        <w:tc>
          <w:tcPr>
            <w:tcW w:w="8420" w:type="dxa"/>
            <w:vAlign w:val="bottom"/>
            <w:tcBorders>
              <w:top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800" w:type="dxa"/>
            <w:vAlign w:val="bottom"/>
            <w:tcBorders>
              <w:top w:val="single" w:sz="8" w:color="auto"/>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2,611</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14,448</w:t>
            </w:r>
          </w:p>
        </w:tc>
        <w:tc>
          <w:tcPr>
            <w:tcW w:w="0" w:type="dxa"/>
            <w:vAlign w:val="bottom"/>
          </w:tcPr>
          <w:p>
            <w:pPr>
              <w:spacing w:after="0"/>
              <w:rPr>
                <w:sz w:val="1"/>
                <w:szCs w:val="1"/>
                <w:color w:val="auto"/>
              </w:rPr>
            </w:pPr>
          </w:p>
        </w:tc>
      </w:tr>
      <w:tr>
        <w:trPr>
          <w:trHeight w:val="189"/>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stock options exercised and employee stock purchase plan</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8"/>
        </w:trPr>
        <w:tc>
          <w:tcPr>
            <w:tcW w:w="8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84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80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(1,228)</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96</w:t>
            </w:r>
          </w:p>
        </w:tc>
        <w:tc>
          <w:tcPr>
            <w:tcW w:w="0" w:type="dxa"/>
            <w:vAlign w:val="bottom"/>
          </w:tcPr>
          <w:p>
            <w:pPr>
              <w:spacing w:after="0"/>
              <w:rPr>
                <w:sz w:val="1"/>
                <w:szCs w:val="1"/>
                <w:color w:val="auto"/>
              </w:rPr>
            </w:pPr>
          </w:p>
        </w:tc>
      </w:tr>
      <w:tr>
        <w:trPr>
          <w:trHeight w:val="201"/>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(937)</w:t>
            </w:r>
          </w:p>
        </w:tc>
        <w:tc>
          <w:tcPr>
            <w:tcW w:w="0" w:type="dxa"/>
            <w:vAlign w:val="bottom"/>
          </w:tcPr>
          <w:p>
            <w:pPr>
              <w:spacing w:after="0"/>
              <w:rPr>
                <w:sz w:val="1"/>
                <w:szCs w:val="1"/>
                <w:color w:val="auto"/>
              </w:rPr>
            </w:pPr>
          </w:p>
        </w:tc>
      </w:tr>
      <w:tr>
        <w:trPr>
          <w:trHeight w:val="209"/>
        </w:trPr>
        <w:tc>
          <w:tcPr>
            <w:tcW w:w="8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50,572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11,294</w:t>
            </w:r>
          </w:p>
        </w:tc>
        <w:tc>
          <w:tcPr>
            <w:tcW w:w="0" w:type="dxa"/>
            <w:vAlign w:val="bottom"/>
          </w:tcPr>
          <w:p>
            <w:pPr>
              <w:spacing w:after="0"/>
              <w:rPr>
                <w:sz w:val="1"/>
                <w:szCs w:val="1"/>
                <w:color w:val="auto"/>
              </w:rPr>
            </w:pPr>
          </w:p>
        </w:tc>
      </w:tr>
      <w:tr>
        <w:trPr>
          <w:trHeight w:val="228"/>
        </w:trPr>
        <w:tc>
          <w:tcPr>
            <w:tcW w:w="8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80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55,931</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10,357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4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4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Amounts in accrued other and accounts payable related to property and equipment additions</w:t>
            </w:r>
          </w:p>
        </w:tc>
        <w:tc>
          <w:tcPr>
            <w:tcW w:w="80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74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KVH INDUSTRIES,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Interim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all amounts in thousands except per share amounts)</w:t>
      </w:r>
    </w:p>
    <w:p>
      <w:pPr>
        <w:spacing w:after="0" w:line="2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w:t>
        <w:tab/>
        <w:t>Description of Business</w:t>
      </w:r>
    </w:p>
    <w:p>
      <w:pPr>
        <w:spacing w:after="0" w:line="25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KVH Industries, Inc. (together with its subsidiaries, the Company or KVH) develops, markets, and supports mobile connectivity and managed services and products for the marine and land markets.</w:t>
      </w:r>
    </w:p>
    <w:p>
      <w:pPr>
        <w:spacing w:after="0" w:line="173" w:lineRule="exact"/>
        <w:rPr>
          <w:sz w:val="20"/>
          <w:szCs w:val="20"/>
          <w:color w:val="auto"/>
        </w:rPr>
      </w:pPr>
    </w:p>
    <w:p>
      <w:pPr>
        <w:jc w:val="both"/>
        <w:ind w:firstLine="472"/>
        <w:spacing w:after="0" w:line="251" w:lineRule="auto"/>
        <w:rPr>
          <w:sz w:val="20"/>
          <w:szCs w:val="20"/>
          <w:color w:val="auto"/>
        </w:rPr>
      </w:pPr>
      <w:r>
        <w:rPr>
          <w:rFonts w:ascii="Times New Roman" w:cs="Times New Roman" w:eastAsia="Times New Roman" w:hAnsi="Times New Roman"/>
          <w:sz w:val="17"/>
          <w:szCs w:val="17"/>
          <w:color w:val="auto"/>
        </w:rPr>
        <w:t>KVH’s service sales primarily represent revenue earned from satellite Internet airtime services. KVH provides, for monthly fixed and per-usage fees, satellite connectivity encompassing broadband Internet and Voice over Internet Protocol (VoIP) services, to its TracNet® H-series and TracPhone® V-HTS series customers via KVH’s global high-throughput satellite (HTS) network. Revenue from our cellular airtime service supplements KVH’s satellite-only airtime revenue following the July 2022 launch of the KVH ONE® hybrid network and TracNet H-series terminals. This service and product combination integrates global satellite service with KVH-provided cellular service in more than 150 countries, along with shore-based Wi-Fi access. In March 2023, KVH began selling terminals for the Starlink Low Earth Orbit (LEO) service and in September 2023 became a Starlink authorized hardware and airtime reseller. The May 2023 introduction of the KVH ONE OpenNet Program expanded access to KVH’s global HTS network and airtime services to non-KVH terminals for the first time. KVH further expanded its LEO service and hardware portfolio in January 2025 with the launch of OneWeb service for maritime applications.</w:t>
      </w:r>
    </w:p>
    <w:p>
      <w:pPr>
        <w:spacing w:after="0" w:line="211" w:lineRule="exact"/>
        <w:rPr>
          <w:sz w:val="20"/>
          <w:szCs w:val="20"/>
          <w:color w:val="auto"/>
        </w:rPr>
      </w:pPr>
    </w:p>
    <w:p>
      <w:pPr>
        <w:ind w:right="20" w:firstLine="472"/>
        <w:spacing w:after="0" w:line="252" w:lineRule="auto"/>
        <w:rPr>
          <w:sz w:val="20"/>
          <w:szCs w:val="20"/>
          <w:color w:val="auto"/>
        </w:rPr>
      </w:pPr>
      <w:r>
        <w:rPr>
          <w:rFonts w:ascii="Times New Roman" w:cs="Times New Roman" w:eastAsia="Times New Roman" w:hAnsi="Times New Roman"/>
          <w:sz w:val="17"/>
          <w:szCs w:val="17"/>
          <w:color w:val="auto"/>
        </w:rPr>
        <w:t>AgilePlans, KVH’s connectivity as a service offering, is a monthly subscription model that provides global connectivity to commercial maritime customers. The subscription can include KVH VSAT terminals and data service, Starlink and OneWeb terminals and data service, KVH’s CommBox™ Edge Communications Gateway and associated service licensing,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that the Company offers to customers who elect to purchase or lease a TracNet H-series, TracPhone V-HTS series, Starlink, or OneWeb terminal.</w:t>
      </w:r>
    </w:p>
    <w:p>
      <w:pPr>
        <w:spacing w:after="0" w:line="209"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two to five years. Since the Company retains ownership of the hardware, it does not accrue any warranty costs for AgilePlans hardware; however, any maintenance or refurbishment costs on the hardware are expensed in the period these costs are incurred.</w:t>
      </w:r>
    </w:p>
    <w:p>
      <w:pPr>
        <w:spacing w:after="0" w:line="19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Service sales also include the distribution of commercially licensed entertainment, including movies, television programming, news, and music, to commercial customers in the maritime market through the KVH Media Group, along with supplemental value-added cybersecurity, email, and crew Internet services. In addition, KVH earns monthly usage fees from third-party satellite connectivity services, including VoIP, data and Internet services, provided to its Viasat/Inmarsat and Iridium customers who choose to activate their subscriptions with KVH. Service sales also include sales from product repairs and extended warranty sales.</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KVH’s satellite-only and hybrid products enable marine customers to receive data,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KVH sells its products through an extensive international network of dealers and distributors. KVH also sells and leases products to service providers and end users.</w:t>
      </w:r>
    </w:p>
    <w:p>
      <w:pPr>
        <w:spacing w:after="0" w:line="194"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In February 2024, the Company announced a staged wind-down of its product manufacturing operations at its Middletown, Rhode Island location. The Company expects that it will continue its product manufacturing activities in order to generate a targeted amount of inventory of maritime satellite connectivity and satellite television terminals to meet anticipated demand and that it will cease substantially all manufacturing activity by the end of 2026. The wind-down has been extended from the end of 2025 because the reduced workforce has been prioritizing fulfillment of LEO product orders and refurbishing AgilePlan terminals over manufacturing new units. The Company expects to continue to facilitate customer transition to third-party hardware products compatible with its mobile satellite communications services. Please see Note 17 for additional details surrounding the wind-down of the Company's manufacturing activities.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8" w:name="page9"/>
    <w:bookmarkEnd w:id="8"/>
    <w:p>
      <w:pPr>
        <w:ind w:left="420" w:hanging="415"/>
        <w:spacing w:after="0"/>
        <w:tabs>
          <w:tab w:leader="none" w:pos="4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spacing w:after="0" w:line="190"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2024 filed on March 10, 2025 with the Securities and Exchange Commission. The results for the three and six months ended June 30, 2025 are not necessarily indicative of operating results for the remainder of the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Estimates and Assumptions and Other Significant Non-Recurring Transactions</w:t>
      </w:r>
    </w:p>
    <w:p>
      <w:pPr>
        <w:spacing w:after="0" w:line="252" w:lineRule="exact"/>
        <w:rPr>
          <w:sz w:val="20"/>
          <w:szCs w:val="20"/>
          <w:color w:val="auto"/>
        </w:rPr>
      </w:pPr>
    </w:p>
    <w:p>
      <w:pPr>
        <w:jc w:val="both"/>
        <w:ind w:firstLine="472"/>
        <w:spacing w:after="0" w:line="25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valuation of prepaid assets, expected future cash flows (including growth rates, discount rates, terminal values and other assumptions and estimates used to evaluate the recoverability of long-lived assets), estimated fair values of long-lived assets (including amortization methods and amortization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211"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Held for Sale</w:t>
      </w:r>
    </w:p>
    <w:p>
      <w:pPr>
        <w:spacing w:after="0" w:line="25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Company classifies an asset as held for sale when management, having the authority to approve the action, commits to a plan to sell the asset, the sale is probable within one year and the asset is available for immediate sale in its present condition. The Company also considers whether an active program to locate a buyer has been initiated, whether the asset is marketed actively for sale at a price that is reasonable in relation to its current fair value and whether actions required to complete the plan indicate that it is unlikely that significant changes to the plan will be made or that the plan will be withdrawn. The Company initially measures an asset that is classified as held for sale at the lower of its carrying amount or fair value less costs to sell. Any loss resulting from this measurement is recognized in the period in which the held for sale criteria are met. Conversely, gains are not recognized until the date of sale. The Company assesses the fair value of an asset less costs to sell for each reporting period that it remains classified as held for sale and reports any subsequent changes as an adjustment to the carrying amount of the asset, as long as the new carrying amount does not exceed the carrying amount of the asset at the time it was initially classified as held for sale. Assets are not depreciated or amortized while they are classified as held for sale.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color w:val="auto"/>
        </w:rPr>
        <w:t>Foreign Currency Translation</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financial statements of the Company’s foreign subsidiaries located in Denmark, Singapore, Brazil and Cyprus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net” in the accompanying consolidated statements of operations. The Company recorded net foreign currency exchange losses, which are comprised of both realized and unrealized foreign currency exchange gains and losses, in its accompanying consolidated statements of operations of $(101) and $(248) for the three months ended June 30, 2025 and 2024, respectively, and $(132) and $(269) for the six months ended June 30, 2025 and 2024, respectively.</w:t>
      </w:r>
    </w:p>
    <w:p>
      <w:pPr>
        <w:spacing w:after="0" w:line="19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financial statements of the Company’s foreign subsidiaries located in the United Kingdom,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194" w:lineRule="exact"/>
        <w:rPr>
          <w:sz w:val="20"/>
          <w:szCs w:val="20"/>
          <w:color w:val="auto"/>
        </w:rPr>
      </w:pPr>
    </w:p>
    <w:p>
      <w:pPr>
        <w:ind w:left="420" w:hanging="415"/>
        <w:spacing w:after="0"/>
        <w:tabs>
          <w:tab w:leader="none" w:pos="4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Standards and Accounting Standards Not yet Adopted</w:t>
      </w:r>
    </w:p>
    <w:p>
      <w:pPr>
        <w:spacing w:after="0" w:line="252"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No. 2023-09, Income Taxes (Topic 740): Improvements to Income Tax Disclosures. The amendments in this ASU apply to all entities that are subject to Topic 740, Income Taxes. The amendments require public business entities to disclose specific categories in their tax rate reconciliation and provide additional information for reconciling items that meet a quantitative threshold. These amendments also require all entities to disclose income taxes paid, net of refunds received, disaggregated by federal, state, and foreign taxes and by individual jurisdictions in which income taxes paid, net of refunds received, are equal to or greater than five percent of total income taxes paid. For public business entities, the amendments in this ASU are effective for annual periods beginning after December 15, 2024. The amendments in this ASU should be applied on a prospective basis. The adoption of ASU No. 2023-09 is not expected to have a material impact on the Company’s financial statements, including disclosures.</w:t>
      </w:r>
    </w:p>
    <w:p>
      <w:pPr>
        <w:spacing w:after="0" w:line="200" w:lineRule="exact"/>
        <w:rPr>
          <w:sz w:val="20"/>
          <w:szCs w:val="20"/>
          <w:color w:val="auto"/>
        </w:rPr>
      </w:pPr>
    </w:p>
    <w:p>
      <w:pPr>
        <w:spacing w:after="0" w:line="21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Statement—Reporting Comprehensive Income—Expense Disaggregation Disclosures (Subtopic 220-40): Disaggregation of Income Statement Expenses. The standard requires public business entities to provide further disaggregated information of relevant expense captions within its consolidated statements of operations. The standard is effective for annual periods beginning after December 15, 2026 and interim periods within annual periods beginning after December 15, 2027. The standard may be applied prospectively or retrospectively. The adoption will result in disclosure changes only.</w:t>
      </w:r>
    </w:p>
    <w:p>
      <w:pPr>
        <w:spacing w:after="0" w:line="19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There are no other recent accounting pronouncements that have been issued by the FASB that are not yet effective and that the Company expects would have a material impact on the Company’s financial statements, including disclosures.</w:t>
      </w:r>
    </w:p>
    <w:p>
      <w:pPr>
        <w:spacing w:after="0" w:line="200" w:lineRule="exact"/>
        <w:rPr>
          <w:sz w:val="20"/>
          <w:szCs w:val="20"/>
          <w:color w:val="auto"/>
        </w:rPr>
      </w:pPr>
    </w:p>
    <w:p>
      <w:pPr>
        <w:spacing w:after="0" w:line="2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(4)</w:t>
        <w:tab/>
        <w:t>Marketable Securities</w:t>
      </w:r>
    </w:p>
    <w:p>
      <w:pPr>
        <w:spacing w:after="0" w:line="200" w:lineRule="exact"/>
        <w:rPr>
          <w:sz w:val="20"/>
          <w:szCs w:val="20"/>
          <w:color w:val="auto"/>
        </w:rPr>
      </w:pPr>
    </w:p>
    <w:p>
      <w:pPr>
        <w:spacing w:after="0" w:line="209"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the fourth quarter of 2024, the balance of our marketable securities held by Wells Fargo was liquidated and transferred to an interest-bearing account held by Bank of America, N.A. Interest income from marketable securities was $0 and $706 during the three months ended June 30, 2025 and 2024, respectively, and $0 and $1,426 during the six months ended June 30, 2025 and 2024, respectively.</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held no marketable securities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0" w:name="page11"/>
    <w:bookmarkEnd w:id="10"/>
    <w:p>
      <w:pPr>
        <w:ind w:left="420" w:hanging="415"/>
        <w:spacing w:after="0"/>
        <w:tabs>
          <w:tab w:leader="none" w:pos="4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200" w:lineRule="exact"/>
        <w:rPr>
          <w:sz w:val="20"/>
          <w:szCs w:val="20"/>
          <w:color w:val="auto"/>
        </w:rPr>
      </w:pP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(a) Stock Equity and Incentive Plan</w:t>
      </w:r>
    </w:p>
    <w:p>
      <w:pPr>
        <w:spacing w:after="0" w:line="173"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 xml:space="preserve">The Company recognizes stock-based compensation in accordance with the provisions of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Stock-based compensation expense was $432 and $721, excluding $2 and $1 of compensation expense related to our Amended and Restated 1996 Employee Stock Purchase Plan, or the ESPP, for the three months ended June 30, 2025 and 2024, respectively, and $767 and $1,238, excluding $4 and $6 of compensation expense related to ESPP, for the six months ended June 30, 2025 and 2024, respectively. As of June 30, 2025, there was $1,808 of total unrecognized compensation expense related to stock options, which is expected to be recognized over a weighted-average period of 3.12 years. As of June 30, 2025, there was $935 of total unrecognized compensation expense related to restricted stock awards, which is expected to be recognized over a weighted-average period of 2.06 years.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Stock Options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During the three months ended June 30, 2025, 6 shares of common stock were issued upon the exercise of stock options. No shares were surrendered to the Company to satisfy minimum tax withholding obligations. Additionally, during the three months ended June 30, 2025, 50 stock options were granted and 64 stock options expired, were canceled or were forfeited. During the three months ended June 30, 2024, no shares of common stock were issued upon the exercise of stock options. No shares were surrendered to the Company to satisfy minimum tax withholding obligations. Additionally, during the three months ended June 30, 2024, no stock options were granted and 257 stock options expired, were canceled or were forfeited.</w:t>
      </w:r>
    </w:p>
    <w:p>
      <w:pPr>
        <w:spacing w:after="0" w:line="19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During the six months ended June 30, 2025, 6 shares of common stock were issued upon the exercise of stock options. No shares were surrendered to the Company to satisfy minimum tax withholding obligations. Additionally, during the six months ended June 30, 2025, 575 stock options were granted and 127 stock options expired, were canceled or were forfeited. During the six months ended June 30, 2024, no shares of common stock were issued upon the exercise of stock options. No shares were surrendered to the Company to satisfy minimum tax withholding obligations. Additionally, during the six months ended June 30, 2024, 266 stock options were granted and 271 stock options expired, were canceled or were forfeited. The Company has historically estimated the fair value of each option grant on the date of grant using the Black-Scholes option-pricing model. The weighted average assumptions utilized to determine the fair value of options granted during the six months ended June 30, 2025 and 2024 are as follows:</w:t>
      </w:r>
    </w:p>
    <w:p>
      <w:pPr>
        <w:spacing w:after="0" w:line="5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7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12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3.95 %</w:t>
            </w:r>
          </w:p>
        </w:tc>
        <w:tc>
          <w:tcPr>
            <w:tcW w:w="2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4.36 %</w:t>
            </w:r>
          </w:p>
        </w:tc>
      </w:tr>
      <w:tr>
        <w:trPr>
          <w:trHeight w:val="22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40.73 %</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48.63 %</w:t>
            </w:r>
          </w:p>
        </w:tc>
      </w:tr>
      <w:tr>
        <w:trPr>
          <w:trHeight w:val="22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(in years)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2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bl>
    <w:p>
      <w:pPr>
        <w:spacing w:after="0" w:line="30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As of June 30, 2025, there were 1,397 options outstanding with a weighted average exercise price of $7.19 per share and 510 options exercisable with a weighted average exercise price of $8.96 per share. As of June 30, 2024, there were 1,225 options outstanding with a weighted average exercise price of $8.64 per share and 599 options exercisable with a weighted average exercise price of $9.84 per share.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months ended June 30, 2025, no shares of restricted stock were granted and 1 shares of restricted stock were forfeited. Additionally, during the three months ended June 30, 2025, 63 shares of restricted stock vested. During the three months ended June 30, 2024, no shares of restricted stock were granted and 35 share of restricted stock were forfeited. Additionally, during the three months ended June 30, 2024, 76 shares of restricted stock vested.</w:t>
      </w:r>
    </w:p>
    <w:p>
      <w:pPr>
        <w:spacing w:after="0" w:line="190"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six months ended June 30, 2025, no shares of restricted stock were granted and 22 shares of restricted stock were forfeited. Additionally, during the six months ended June 30, 2025, 146 shares of restricted stock vested. During the six months ended June 30, 2024, 122 shares of restricted stock were granted with a weighted average grant date fair value of $5.03 per share and 43 shares of restricted stock were forfeited. Additionally, during the six months ended June 30, 2024, 142 shares of restricted stock vested.</w:t>
      </w:r>
    </w:p>
    <w:p>
      <w:pPr>
        <w:spacing w:after="0" w:line="194"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June 30, 2025 and 2024, the Company had no unvested outstanding options and no outstanding shares of restricted stock that were subject to performance-based or market-based vesting conditions.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(b) Employee Stock Purchase Plan</w:t>
      </w:r>
    </w:p>
    <w:p>
      <w:pPr>
        <w:spacing w:after="0" w:line="25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June 30, 2025 and 2024, no shares were issued under the ESPP. During the six months ended June 30, 2025 and 2024, 0 and 24 shares were issued under the ESPP, respectively. The Company recorded compensation charges related to the ESPP of $2 and $1 for the three months ended June 30, 2025 and 2024, respectively, and $4 and $6 for the six months ended June 30, 2025 and 2024, respectively.</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 Stock-Based Compensation Expense</w:t>
      </w:r>
    </w:p>
    <w:p>
      <w:pPr>
        <w:spacing w:after="0" w:line="97"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presents stock-based compensation expense, including expense for the ESPP, in the Company's consolidated statements of operations for the six months ended June 30, 2025 and 2024, respectively: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292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540" w:type="dxa"/>
            <w:vAlign w:val="bottom"/>
            <w:tcBorders>
              <w:bottom w:val="single" w:sz="8" w:color="auto"/>
            </w:tcBorders>
          </w:tcPr>
          <w:p>
            <w:pPr>
              <w:spacing w:after="0"/>
              <w:rPr>
                <w:sz w:val="19"/>
                <w:szCs w:val="19"/>
                <w:color w:val="auto"/>
              </w:rPr>
            </w:pPr>
          </w:p>
        </w:tc>
      </w:tr>
      <w:tr>
        <w:trPr>
          <w:trHeight w:val="216"/>
        </w:trPr>
        <w:tc>
          <w:tcPr>
            <w:tcW w:w="44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8"/>
                <w:szCs w:val="18"/>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 sales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r>
      <w:tr>
        <w:trPr>
          <w:trHeight w:val="216"/>
        </w:trPr>
        <w:tc>
          <w:tcPr>
            <w:tcW w:w="442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434</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722</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771</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1,244</w:t>
            </w:r>
          </w:p>
        </w:tc>
      </w:tr>
      <w:tr>
        <w:trPr>
          <w:trHeight w:val="20"/>
        </w:trPr>
        <w:tc>
          <w:tcPr>
            <w:tcW w:w="4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 Accumulated Other Comprehensive Loss (AOCL)</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Comprehensive income (loss) includes net income (loss), unrealized gains and losses from foreign currency translation, and unrealized gains and losses on available for sale marketable securities. The components of the Company’s comprehensive income (loss) and the effect on earnings for the periods presented are detailed in the accompanying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228"/>
        </w:trPr>
        <w:tc>
          <w:tcPr>
            <w:tcW w:w="6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The balances for the three months ended June 30, 2025 and 2024 are as follows: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March 31, 2025</w:t>
            </w:r>
          </w:p>
        </w:tc>
        <w:tc>
          <w:tcPr>
            <w:tcW w:w="260" w:type="dxa"/>
            <w:vAlign w:val="bottom"/>
            <w:tcBorders>
              <w:top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other comprehensive income</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June 30, 2025</w:t>
            </w:r>
          </w:p>
        </w:tc>
        <w:tc>
          <w:tcPr>
            <w:tcW w:w="2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March 31, 2024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(3,956)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other comprehensive loss</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June 30, 2024</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The balances for the six months ended June 30, 2025 and 2024 are as follows:</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December 31, 2024</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other comprehensive income</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June 30, 2025</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(3,032)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December 31, 2023</w:t>
            </w:r>
          </w:p>
        </w:tc>
        <w:tc>
          <w:tcPr>
            <w:tcW w:w="260" w:type="dxa"/>
            <w:vAlign w:val="bottom"/>
            <w:tcBorders>
              <w:top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(4,185)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other comprehensive income</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June 30, 2024</w:t>
            </w:r>
          </w:p>
        </w:tc>
        <w:tc>
          <w:tcPr>
            <w:tcW w:w="2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(6)</w:t>
        <w:tab/>
        <w:t>Net Income (Loss) per Common Share</w:t>
      </w:r>
    </w:p>
    <w:p>
      <w:pPr>
        <w:spacing w:after="0" w:line="252" w:lineRule="exact"/>
        <w:rPr>
          <w:sz w:val="20"/>
          <w:szCs w:val="20"/>
          <w:color w:val="auto"/>
        </w:rPr>
      </w:pPr>
    </w:p>
    <w:p>
      <w:pPr>
        <w:jc w:val="both"/>
        <w:ind w:firstLine="208"/>
        <w:spacing w:after="0" w:line="262" w:lineRule="auto"/>
        <w:rPr>
          <w:sz w:val="20"/>
          <w:szCs w:val="20"/>
          <w:color w:val="auto"/>
        </w:rPr>
      </w:pPr>
      <w:r>
        <w:rPr>
          <w:rFonts w:ascii="Times New Roman" w:cs="Times New Roman" w:eastAsia="Times New Roman" w:hAnsi="Times New Roman"/>
          <w:sz w:val="17"/>
          <w:szCs w:val="17"/>
          <w:color w:val="auto"/>
        </w:rPr>
        <w:t>Basic net income (loss)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The computation of diluted weighted-average common shares outstanding excludes 1,396 weighted average anti-dilutive stock-based awards outstanding for the three-month period ended June 30, 2025. For the six months ended June 30, 2025, since there was a net loss, the company excluded 1,252 shares underlying outstanding stock options and non-vested restricted shares from its diluted loss per share calculation as inclusion of these convertible securities would have reduced the net loss per share. For the three and six months ended June 30, 2024, since there was a net loss, the company excluded 1,375 and 1,297 shares, respectively, in outstanding stock options and non-vested restricted shares from its diluted loss per share calculation, as inclusion of these convertible securities would have reduced the net loss per share.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3" w:name="page14"/>
    <w:bookmarkEnd w:id="13"/>
    <w:p>
      <w:pPr>
        <w:ind w:left="480"/>
        <w:spacing w:after="0"/>
        <w:rPr>
          <w:sz w:val="20"/>
          <w:szCs w:val="20"/>
          <w:color w:val="auto"/>
        </w:rPr>
      </w:pPr>
      <w:r>
        <w:rPr>
          <w:rFonts w:ascii="Times New Roman" w:cs="Times New Roman" w:eastAsia="Times New Roman" w:hAnsi="Times New Roman"/>
          <w:sz w:val="17"/>
          <w:szCs w:val="17"/>
          <w:color w:val="auto"/>
        </w:rPr>
        <w:t>A reconciliation of the basic and diluted weighted average common shares outstanding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19"/>
                <w:szCs w:val="19"/>
                <w:color w:val="auto"/>
              </w:rPr>
            </w:pPr>
          </w:p>
        </w:tc>
        <w:tc>
          <w:tcPr>
            <w:tcW w:w="242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30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0"/>
        </w:trPr>
        <w:tc>
          <w:tcPr>
            <w:tcW w:w="6520" w:type="dxa"/>
            <w:vAlign w:val="bottom"/>
          </w:tcPr>
          <w:p>
            <w:pPr>
              <w:spacing w:after="0"/>
              <w:rPr>
                <w:sz w:val="19"/>
                <w:szCs w:val="19"/>
                <w:color w:val="auto"/>
              </w:rPr>
            </w:pPr>
          </w:p>
        </w:tc>
        <w:tc>
          <w:tcPr>
            <w:tcW w:w="1520" w:type="dxa"/>
            <w:vAlign w:val="bottom"/>
            <w:tcBorders>
              <w:bottom w:val="single" w:sz="8" w:color="auto"/>
            </w:tcBorders>
            <w:gridSpan w:val="3"/>
          </w:tcPr>
          <w:p>
            <w:pPr>
              <w:jc w:val="center"/>
              <w:ind w:left="73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bottom w:val="single" w:sz="8" w:color="auto"/>
            </w:tcBorders>
            <w:gridSpan w:val="3"/>
          </w:tcPr>
          <w:p>
            <w:pPr>
              <w:jc w:val="center"/>
              <w:ind w:left="69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216"/>
        </w:trPr>
        <w:tc>
          <w:tcPr>
            <w:tcW w:w="65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outstanding—basic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19,333</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common shares issuable in connection with stock plans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outstanding—diluted</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(7)</w:t>
        <w:tab/>
        <w:t>Inventories</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Inventories are stated at the lower of cost or net realizable value using the first-in first-out costing method. Inventories as of June 30, 2025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include the costs of material, labor, and factory overhead. Components of inventories consist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67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52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15,379</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2,469</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5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5,105</w:t>
            </w:r>
          </w:p>
        </w:tc>
      </w:tr>
      <w:tr>
        <w:trPr>
          <w:trHeight w:val="216"/>
        </w:trPr>
        <w:tc>
          <w:tcPr>
            <w:tcW w:w="6760" w:type="dxa"/>
            <w:vAlign w:val="bottom"/>
          </w:tcPr>
          <w:p>
            <w:pPr>
              <w:spacing w:after="0"/>
              <w:rPr>
                <w:sz w:val="18"/>
                <w:szCs w:val="18"/>
                <w:color w:val="auto"/>
              </w:rPr>
            </w:pPr>
          </w:p>
        </w:tc>
        <w:tc>
          <w:tcPr>
            <w:tcW w:w="1520" w:type="dxa"/>
            <w:vAlign w:val="bottom"/>
            <w:tcBorders>
              <w:bottom w:val="single" w:sz="8" w:color="auto"/>
            </w:tcBorders>
          </w:tcPr>
          <w:p>
            <w:pPr>
              <w:jc w:val="right"/>
              <w:ind w:right="133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22,953</w:t>
            </w:r>
          </w:p>
        </w:tc>
      </w:tr>
      <w:tr>
        <w:trPr>
          <w:trHeight w:val="20"/>
        </w:trPr>
        <w:tc>
          <w:tcPr>
            <w:tcW w:w="67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420" w:hanging="415"/>
        <w:spacing w:after="0"/>
        <w:tabs>
          <w:tab w:leader="none" w:pos="4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152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67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Starlink pooled data</w:t>
            </w:r>
          </w:p>
        </w:tc>
        <w:tc>
          <w:tcPr>
            <w:tcW w:w="1520" w:type="dxa"/>
            <w:vAlign w:val="bottom"/>
            <w:shd w:val="clear" w:color="auto" w:fill="CCEEFF"/>
          </w:tcPr>
          <w:p>
            <w:pPr>
              <w:jc w:val="right"/>
              <w:ind w:right="133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14,137</w:t>
            </w:r>
          </w:p>
        </w:tc>
      </w:tr>
      <w:tr>
        <w:trPr>
          <w:trHeight w:val="22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prepaid expenses and other current assets</w:t>
            </w:r>
          </w:p>
        </w:tc>
        <w:tc>
          <w:tcPr>
            <w:tcW w:w="1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1,879</w:t>
            </w:r>
          </w:p>
        </w:tc>
      </w:tr>
      <w:tr>
        <w:trPr>
          <w:trHeight w:val="241"/>
        </w:trPr>
        <w:tc>
          <w:tcPr>
            <w:tcW w:w="67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133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During the second quarter of 2024, KVH expanded its relationship with Starlink through a bulk data distribution agreement. Under the agreement, KVH prepaid for access to a large block of Starlink Global Priority data at favorable rates. The new agreement offers KVH increased flexibility in the development and sales of custom, cost-effective airtime plans using Starlink’s Global Priority service. KVH began drawing from this prepaid pooled data in the third quarter of 2024.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(9)   Property and Equipment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45"/>
        </w:trPr>
        <w:tc>
          <w:tcPr>
            <w:tcW w:w="744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Property and equipment, net, as of June 30, 2025 and December 31, 2024 consist of the following:</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97"/>
        </w:trPr>
        <w:tc>
          <w:tcPr>
            <w:tcW w:w="6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676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6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r>
      <w:tr>
        <w:trPr>
          <w:trHeight w:val="22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6,021</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Revenue-generating assets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61,380</w:t>
            </w:r>
          </w:p>
        </w:tc>
      </w:tr>
      <w:tr>
        <w:trPr>
          <w:trHeight w:val="22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 and computer equipment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10,561</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Motor vehicles</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6"/>
        </w:trPr>
        <w:tc>
          <w:tcPr>
            <w:tcW w:w="67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73,164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78,329</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(51,315)</w:t>
            </w:r>
          </w:p>
        </w:tc>
      </w:tr>
      <w:tr>
        <w:trPr>
          <w:trHeight w:val="216"/>
        </w:trPr>
        <w:tc>
          <w:tcPr>
            <w:tcW w:w="67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24,071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27,014</w:t>
            </w:r>
          </w:p>
        </w:tc>
      </w:tr>
      <w:tr>
        <w:trPr>
          <w:trHeight w:val="20"/>
        </w:trPr>
        <w:tc>
          <w:tcPr>
            <w:tcW w:w="6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Depreciation expense was $2,500 and $3,637 for the three months ended June 30, 2025 and 2024, respectively, and $5,284 and $6,784 for the six months ended June 30, 2025 and 2024, respectively.</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Certain revenue-generating hardware assets are utilized by the Company in the delivery of the Company's airtime services, media and other content.</w:t>
      </w:r>
    </w:p>
    <w:p>
      <w:pPr>
        <w:spacing w:after="0" w:line="25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June 30, 2025 and December 31, 2024, the long-lived tangible assets related to the Company’s international subsidiaries were less than 10% of the Company’s long-lived tangible assets.</w:t>
      </w:r>
    </w:p>
    <w:p>
      <w:pPr>
        <w:spacing w:after="0" w:line="17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In the third quarter of 2024, the Company commenced its plan to sell the warehouse building and surface parking lot located at 75 Enterprise Center in Middletown, Rhode Island (“75 Enterprise Center”). As of September 30, 2024, 75 Enterprise Center had a carrying value of approximately $7.8 million. The Company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The Company recorded an impairment charge of $1.1 million during the year ended December 31, 2024, as the carrying value of 75 Enterprise Center at the time the asset for sale criteria were met exceeded the fair value less costs to sell.</w:t>
      </w:r>
    </w:p>
    <w:p>
      <w:pPr>
        <w:spacing w:after="0" w:line="198"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Additionally, in the third quarter of 2024, the Company commenced its plan to sell the property, building, improvements, and land located at 50 Enterprise Center in Middletown, Rhode Island (“50 Enterprise Center”). As of September 30, 2024, 50 Enterprise Center had a carrying value of approximately $3.6 million. The Company determined that all of the criteria to classify 50 Enterprise Center as held for sale had been met as of September 30, 2024. The estimated fair value of 50 Enterprise Center at that date exceeded its carrying value. In March 2025, the Company entered into an agreement with another buyer to sell 50 Enterprise Center for $5.3 million. The sale was completed in June 2025, resulting in a gain of $1.3 million, which is included in other income (expense), net in the Company's consolidated statement of operations for the three and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5" w:name="page16"/>
    <w:bookmarkEnd w:id="15"/>
    <w:p>
      <w:pPr>
        <w:ind w:left="520" w:hanging="515"/>
        <w:spacing w:after="0"/>
        <w:tabs>
          <w:tab w:leader="none" w:pos="5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Product Warranty</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Company’s products carry standard limited warranties that range from one to two years and vary by product. The warranty period begins on the date of retail purchase or lease by the original purchaser. The Company also offers extended warranties on its products for up to five years,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June 30, 2025 and December 31, 2024, the Company had accrued product warranty costs of $828 and $607,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following table summarizes product warranty activity during 2025 and 2024:</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25"/>
        </w:trPr>
        <w:tc>
          <w:tcPr>
            <w:tcW w:w="7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00" w:type="dxa"/>
            <w:vAlign w:val="bottom"/>
          </w:tcPr>
          <w:p>
            <w:pPr>
              <w:spacing w:after="0"/>
              <w:rPr>
                <w:sz w:val="24"/>
                <w:szCs w:val="24"/>
                <w:color w:val="auto"/>
              </w:rPr>
            </w:pPr>
          </w:p>
        </w:tc>
      </w:tr>
      <w:tr>
        <w:trPr>
          <w:trHeight w:val="230"/>
        </w:trPr>
        <w:tc>
          <w:tcPr>
            <w:tcW w:w="78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6"/>
        </w:trPr>
        <w:tc>
          <w:tcPr>
            <w:tcW w:w="78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center"/>
              <w:ind w:left="153"/>
              <w:spacing w:after="0"/>
              <w:rPr>
                <w:sz w:val="20"/>
                <w:szCs w:val="20"/>
                <w:color w:val="auto"/>
              </w:rPr>
            </w:pPr>
            <w:r>
              <w:rPr>
                <w:rFonts w:ascii="Times New Roman" w:cs="Times New Roman" w:eastAsia="Times New Roman" w:hAnsi="Times New Roman"/>
                <w:sz w:val="17"/>
                <w:szCs w:val="17"/>
                <w:color w:val="auto"/>
              </w:rPr>
              <w:t>607</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7"/>
                <w:szCs w:val="17"/>
                <w:color w:val="auto"/>
              </w:rPr>
              <w:t>828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to expense</w:t>
            </w:r>
          </w:p>
        </w:tc>
        <w:tc>
          <w:tcPr>
            <w:tcW w:w="1000" w:type="dxa"/>
            <w:vAlign w:val="bottom"/>
          </w:tcPr>
          <w:p>
            <w:pPr>
              <w:spacing w:after="0"/>
              <w:rPr>
                <w:sz w:val="19"/>
                <w:szCs w:val="19"/>
                <w:color w:val="auto"/>
              </w:rPr>
            </w:pPr>
          </w:p>
        </w:tc>
        <w:tc>
          <w:tcPr>
            <w:tcW w:w="620" w:type="dxa"/>
            <w:vAlign w:val="bottom"/>
          </w:tcPr>
          <w:p>
            <w:pPr>
              <w:jc w:val="center"/>
              <w:ind w:left="153"/>
              <w:spacing w:after="0"/>
              <w:rPr>
                <w:sz w:val="20"/>
                <w:szCs w:val="20"/>
                <w:color w:val="auto"/>
              </w:rPr>
            </w:pPr>
            <w:r>
              <w:rPr>
                <w:rFonts w:ascii="Times New Roman" w:cs="Times New Roman" w:eastAsia="Times New Roman" w:hAnsi="Times New Roman"/>
                <w:sz w:val="17"/>
                <w:szCs w:val="17"/>
                <w:color w:val="auto"/>
              </w:rPr>
              <w:t>517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center"/>
              <w:ind w:left="533"/>
              <w:spacing w:after="0"/>
              <w:rPr>
                <w:sz w:val="20"/>
                <w:szCs w:val="20"/>
                <w:color w:val="auto"/>
              </w:rPr>
            </w:pPr>
            <w:r>
              <w:rPr>
                <w:rFonts w:ascii="Times New Roman" w:cs="Times New Roman" w:eastAsia="Times New Roman" w:hAnsi="Times New Roman"/>
                <w:sz w:val="17"/>
                <w:szCs w:val="17"/>
                <w:color w:val="auto"/>
              </w:rPr>
              <w:t>465</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incurred</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7"/>
                <w:szCs w:val="17"/>
                <w:color w:val="auto"/>
              </w:rPr>
              <w:t>(296)</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493"/>
              <w:spacing w:after="0"/>
              <w:rPr>
                <w:sz w:val="20"/>
                <w:szCs w:val="20"/>
                <w:color w:val="auto"/>
              </w:rPr>
            </w:pPr>
            <w:r>
              <w:rPr>
                <w:rFonts w:ascii="Times New Roman" w:cs="Times New Roman" w:eastAsia="Times New Roman" w:hAnsi="Times New Roman"/>
                <w:sz w:val="17"/>
                <w:szCs w:val="17"/>
                <w:color w:val="auto"/>
              </w:rPr>
              <w:t>(657)</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7"/>
                <w:szCs w:val="17"/>
                <w:color w:val="auto"/>
              </w:rPr>
              <w:t>828</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7"/>
                <w:szCs w:val="17"/>
                <w:color w:val="auto"/>
              </w:rPr>
              <w:t>636</w:t>
            </w:r>
          </w:p>
        </w:tc>
      </w:tr>
      <w:tr>
        <w:trPr>
          <w:trHeight w:val="20"/>
        </w:trPr>
        <w:tc>
          <w:tcPr>
            <w:tcW w:w="7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500" w:hanging="495"/>
        <w:spacing w:after="0"/>
        <w:tabs>
          <w:tab w:leader="none" w:pos="5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Legal Matters</w:t>
      </w:r>
    </w:p>
    <w:p>
      <w:pPr>
        <w:spacing w:after="0" w:line="226" w:lineRule="exact"/>
        <w:rPr>
          <w:sz w:val="20"/>
          <w:szCs w:val="20"/>
          <w:color w:val="auto"/>
        </w:rPr>
      </w:pPr>
    </w:p>
    <w:p>
      <w:pPr>
        <w:jc w:val="both"/>
        <w:ind w:firstLine="175"/>
        <w:spacing w:after="0" w:line="276" w:lineRule="auto"/>
        <w:rPr>
          <w:sz w:val="20"/>
          <w:szCs w:val="20"/>
          <w:color w:val="auto"/>
        </w:rPr>
      </w:pPr>
      <w:r>
        <w:rPr>
          <w:rFonts w:ascii="Times New Roman" w:cs="Times New Roman" w:eastAsia="Times New Roman" w:hAnsi="Times New Roman"/>
          <w:sz w:val="17"/>
          <w:szCs w:val="17"/>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24" w:lineRule="exact"/>
        <w:rPr>
          <w:sz w:val="20"/>
          <w:szCs w:val="20"/>
          <w:color w:val="auto"/>
        </w:rPr>
      </w:pPr>
    </w:p>
    <w:p>
      <w:pPr>
        <w:ind w:left="520" w:hanging="515"/>
        <w:spacing w:after="0"/>
        <w:tabs>
          <w:tab w:leader="none" w:pos="5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5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 xml:space="preserve">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98" w:lineRule="exact"/>
        <w:rPr>
          <w:sz w:val="20"/>
          <w:szCs w:val="20"/>
          <w:color w:val="auto"/>
        </w:rPr>
      </w:pPr>
    </w:p>
    <w:p>
      <w:pPr>
        <w:ind w:left="480"/>
        <w:spacing w:after="0"/>
        <w:tabs>
          <w:tab w:leader="none" w:pos="1200" w:val="left"/>
        </w:tabs>
        <w:rPr>
          <w:sz w:val="20"/>
          <w:szCs w:val="20"/>
          <w:color w:val="auto"/>
        </w:rPr>
      </w:pPr>
      <w:r>
        <w:rPr>
          <w:rFonts w:ascii="Times New Roman" w:cs="Times New Roman" w:eastAsia="Times New Roman" w:hAnsi="Times New Roman"/>
          <w:sz w:val="17"/>
          <w:szCs w:val="17"/>
          <w:color w:val="auto"/>
        </w:rPr>
        <w:t>Level 1:</w:t>
        <w:tab/>
        <w:t>Unadjusted quoted prices in active markets that are accessible at the measurement date for identical, unrestricted assets or liabilities.</w:t>
      </w:r>
    </w:p>
    <w:p>
      <w:pPr>
        <w:spacing w:after="0" w:line="250" w:lineRule="exact"/>
        <w:rPr>
          <w:sz w:val="20"/>
          <w:szCs w:val="20"/>
          <w:color w:val="auto"/>
        </w:rPr>
      </w:pPr>
    </w:p>
    <w:p>
      <w:pPr>
        <w:ind w:left="1240" w:hanging="785"/>
        <w:spacing w:after="0" w:line="296" w:lineRule="auto"/>
        <w:tabs>
          <w:tab w:leader="none" w:pos="1220" w:val="left"/>
        </w:tabs>
        <w:rPr>
          <w:sz w:val="20"/>
          <w:szCs w:val="20"/>
          <w:color w:val="auto"/>
        </w:rPr>
      </w:pPr>
      <w:r>
        <w:rPr>
          <w:rFonts w:ascii="Times New Roman" w:cs="Times New Roman" w:eastAsia="Times New Roman" w:hAnsi="Times New Roman"/>
          <w:sz w:val="17"/>
          <w:szCs w:val="17"/>
          <w:color w:val="auto"/>
        </w:rPr>
        <w:t>Level 2:</w:t>
        <w:tab/>
        <w:t>Quoted prices for similar assets or liabilities in active markets; or observable prices that are based on observable market data, based on directly or indirectly market-corroborated inputs.</w:t>
      </w:r>
    </w:p>
    <w:p>
      <w:pPr>
        <w:spacing w:after="0" w:line="173" w:lineRule="exact"/>
        <w:rPr>
          <w:sz w:val="20"/>
          <w:szCs w:val="20"/>
          <w:color w:val="auto"/>
        </w:rPr>
      </w:pPr>
    </w:p>
    <w:p>
      <w:pPr>
        <w:ind w:left="1260" w:hanging="785"/>
        <w:spacing w:after="0" w:line="296" w:lineRule="auto"/>
        <w:tabs>
          <w:tab w:leader="none" w:pos="1240" w:val="left"/>
        </w:tabs>
        <w:rPr>
          <w:sz w:val="20"/>
          <w:szCs w:val="20"/>
          <w:color w:val="auto"/>
        </w:rPr>
      </w:pPr>
      <w:r>
        <w:rPr>
          <w:rFonts w:ascii="Times New Roman" w:cs="Times New Roman" w:eastAsia="Times New Roman" w:hAnsi="Times New Roman"/>
          <w:sz w:val="17"/>
          <w:szCs w:val="17"/>
          <w:color w:val="auto"/>
        </w:rPr>
        <w:t>Level 3:</w:t>
        <w:tab/>
        <w:t>Unobservable inputs that are supported by little or no market activity and are developed based on the best information available given the circumstances.</w:t>
      </w:r>
    </w:p>
    <w:p>
      <w:pPr>
        <w:spacing w:after="0" w:line="2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financial assets or liabilities were measured at fair value based upon the ASC 820 fair value hierarchy as of June 30, 2025 or December 31, 2024.</w:t>
      </w:r>
    </w:p>
    <w:p>
      <w:pPr>
        <w:spacing w:after="0" w:line="171"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carrying amount of certain financial instruments approximates fair value due to their short-term, highly liquid nature. These instruments include cash and cash equivalents, accounts receivable, accounts payable, and accrued expenses. The carrying amount of the Company's operating and financing lease liabilities approximates fair value based on currently available quoted rates of similarly structured borrowings.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i w:val="1"/>
          <w:iCs w:val="1"/>
          <w:color w:val="auto"/>
        </w:rPr>
        <w:t>Assets Measured and Recorded at Fair Value on a Nonrecurring Basis</w:t>
      </w:r>
    </w:p>
    <w:p>
      <w:pPr>
        <w:spacing w:after="0" w:line="25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non-financial assets, such as intangible assets, and other long-lived assets resulting from business combinations, are measured at fair value using income approach valuation methodologies at the date of acquisition and subsequently re-measured if indications of impairment exist. There was no impairment of the Company's non-financial assets noted during the six months ended June 30, 2025 or 2024. The Company does not have any liabilities that are recorded at fair value on a non-recurring basis.</w:t>
      </w:r>
    </w:p>
    <w:p>
      <w:pPr>
        <w:spacing w:after="0" w:line="192" w:lineRule="exact"/>
        <w:rPr>
          <w:sz w:val="20"/>
          <w:szCs w:val="20"/>
          <w:color w:val="auto"/>
        </w:rPr>
      </w:pPr>
    </w:p>
    <w:p>
      <w:pPr>
        <w:ind w:left="520" w:hanging="515"/>
        <w:spacing w:after="0"/>
        <w:tabs>
          <w:tab w:leader="none" w:pos="5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w:t>
      </w:r>
    </w:p>
    <w:p>
      <w:pPr>
        <w:spacing w:after="0" w:line="25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the Company will recognize an impairment loss for the amount by which the carrying value of the asset or asset group exceeds its related estimated fair value. The Company has determined that the assets within each of the Company's reporting units (Mobile Broadband (MBB) and KVH Media Group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changes in the carrying amount of intangible assets during the six months ended June 30, 2025 are as follows:</w:t>
            </w: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49"/>
        </w:trPr>
        <w:tc>
          <w:tcPr>
            <w:tcW w:w="90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Amounts</w:t>
            </w: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r>
      <w:tr>
        <w:trPr>
          <w:trHeight w:val="223"/>
        </w:trPr>
        <w:tc>
          <w:tcPr>
            <w:tcW w:w="9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expense</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23"/>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Intangible assets acquired in asset acquisition</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23"/>
        </w:trPr>
        <w:tc>
          <w:tcPr>
            <w:tcW w:w="9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1"/>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 2025</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Intangible assets arose from the purchase of distribution rights from Kognitive Networks Inc. in October 2023 and the purchase of KVH Industries Norway AS in September 2010. The assets that are related to the distribution rights from Kognitive Networks are being amortized on a straight-line basis over the estimated useful life of 3 years. The assets related to the purchase of KVH Industries Norway AS for acquired intellectual property are fully amortized.</w:t>
      </w:r>
    </w:p>
    <w:p>
      <w:pPr>
        <w:spacing w:after="0" w:line="190"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 xml:space="preserve">In January 2017, the Company completed the acquisition of certain subscriber relationships from a third party. This acquisition did not meet the definition of a business under ASC 2017-01, </w:t>
      </w:r>
      <w:r>
        <w:rPr>
          <w:rFonts w:ascii="Times New Roman" w:cs="Times New Roman" w:eastAsia="Times New Roman" w:hAnsi="Times New Roman"/>
          <w:sz w:val="17"/>
          <w:szCs w:val="17"/>
          <w:i w:val="1"/>
          <w:iCs w:val="1"/>
          <w:color w:val="auto"/>
        </w:rPr>
        <w:t>Business Combinations (Topic 805)-Clarifying the Definition of a Business</w:t>
      </w:r>
      <w:r>
        <w:rPr>
          <w:rFonts w:ascii="Times New Roman" w:cs="Times New Roman" w:eastAsia="Times New Roman" w:hAnsi="Times New Roman"/>
          <w:sz w:val="17"/>
          <w:szCs w:val="17"/>
          <w:color w:val="auto"/>
        </w:rPr>
        <w:t>.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The amounts payable under the contingent consideration arrangement, if any, will be included in the measurement of the cost of the acquired subscriber relationships.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7" w:name="page18"/>
    <w:bookmarkEnd w:id="17"/>
    <w:p>
      <w:pPr>
        <w:ind w:firstLine="472"/>
        <w:spacing w:after="0" w:line="280" w:lineRule="auto"/>
        <w:rPr>
          <w:sz w:val="20"/>
          <w:szCs w:val="20"/>
          <w:color w:val="auto"/>
        </w:rPr>
      </w:pPr>
      <w:r>
        <w:rPr>
          <w:rFonts w:ascii="Times New Roman" w:cs="Times New Roman" w:eastAsia="Times New Roman" w:hAnsi="Times New Roman"/>
          <w:sz w:val="17"/>
          <w:szCs w:val="17"/>
          <w:color w:val="auto"/>
        </w:rPr>
        <w:t>Acquired intangible assets are subject to amortization. The following table summarizes acquired intangible assets at June 30, 2025 and December 31, 2024, respectively:</w:t>
      </w:r>
    </w:p>
    <w:tbl>
      <w:tblPr>
        <w:tblLayout w:type="fixed"/>
        <w:tblInd w:w="20" w:type="dxa"/>
        <w:tblCellMar>
          <w:top w:w="0" w:type="dxa"/>
          <w:left w:w="0" w:type="dxa"/>
          <w:bottom w:w="0" w:type="dxa"/>
          <w:right w:w="0" w:type="dxa"/>
        </w:tblCellMar>
      </w:tblPr>
      <w:tr>
        <w:trPr>
          <w:trHeight w:val="178"/>
        </w:trPr>
        <w:tc>
          <w:tcPr>
            <w:tcW w:w="6780" w:type="dxa"/>
            <w:vAlign w:val="bottom"/>
          </w:tcPr>
          <w:p>
            <w:pPr>
              <w:spacing w:after="0"/>
              <w:rPr>
                <w:sz w:val="15"/>
                <w:szCs w:val="15"/>
                <w:color w:val="auto"/>
              </w:rPr>
            </w:pPr>
          </w:p>
        </w:tc>
        <w:tc>
          <w:tcPr>
            <w:tcW w:w="1420" w:type="dxa"/>
            <w:vAlign w:val="bottom"/>
            <w:gridSpan w:val="3"/>
          </w:tcPr>
          <w:p>
            <w:pPr>
              <w:jc w:val="center"/>
              <w:ind w:right="100"/>
              <w:spacing w:after="0" w:line="178" w:lineRule="exact"/>
              <w:rPr>
                <w:sz w:val="20"/>
                <w:szCs w:val="20"/>
                <w:color w:val="auto"/>
              </w:rPr>
            </w:pPr>
            <w:r>
              <w:rPr>
                <w:rFonts w:ascii="Times New Roman" w:cs="Times New Roman" w:eastAsia="Times New Roman" w:hAnsi="Times New Roman"/>
                <w:sz w:val="17"/>
                <w:szCs w:val="17"/>
                <w:b w:val="1"/>
                <w:bCs w:val="1"/>
                <w:color w:val="auto"/>
              </w:rPr>
              <w:t>Gross Carrying</w:t>
            </w:r>
          </w:p>
        </w:tc>
        <w:tc>
          <w:tcPr>
            <w:tcW w:w="160" w:type="dxa"/>
            <w:vAlign w:val="bottom"/>
          </w:tcPr>
          <w:p>
            <w:pPr>
              <w:spacing w:after="0"/>
              <w:rPr>
                <w:sz w:val="15"/>
                <w:szCs w:val="15"/>
                <w:color w:val="auto"/>
              </w:rPr>
            </w:pPr>
          </w:p>
        </w:tc>
        <w:tc>
          <w:tcPr>
            <w:tcW w:w="1380" w:type="dxa"/>
            <w:vAlign w:val="bottom"/>
            <w:gridSpan w:val="2"/>
          </w:tcPr>
          <w:p>
            <w:pPr>
              <w:ind w:left="60"/>
              <w:spacing w:after="0" w:line="17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5"/>
                <w:szCs w:val="15"/>
                <w:color w:val="auto"/>
              </w:rPr>
            </w:pPr>
          </w:p>
        </w:tc>
        <w:tc>
          <w:tcPr>
            <w:tcW w:w="1300" w:type="dxa"/>
            <w:vAlign w:val="bottom"/>
          </w:tcPr>
          <w:p>
            <w:pPr>
              <w:jc w:val="right"/>
              <w:ind w:right="153"/>
              <w:spacing w:after="0" w:line="178" w:lineRule="exact"/>
              <w:rPr>
                <w:sz w:val="20"/>
                <w:szCs w:val="20"/>
                <w:color w:val="auto"/>
              </w:rPr>
            </w:pPr>
            <w:r>
              <w:rPr>
                <w:rFonts w:ascii="Times New Roman" w:cs="Times New Roman" w:eastAsia="Times New Roman" w:hAnsi="Times New Roman"/>
                <w:sz w:val="17"/>
                <w:szCs w:val="17"/>
                <w:b w:val="1"/>
                <w:bCs w:val="1"/>
                <w:color w:val="auto"/>
              </w:rPr>
              <w:t>Net Carrying</w:t>
            </w:r>
          </w:p>
        </w:tc>
        <w:tc>
          <w:tcPr>
            <w:tcW w:w="0" w:type="dxa"/>
            <w:vAlign w:val="bottom"/>
          </w:tcPr>
          <w:p>
            <w:pPr>
              <w:spacing w:after="0"/>
              <w:rPr>
                <w:sz w:val="1"/>
                <w:szCs w:val="1"/>
                <w:color w:val="auto"/>
              </w:rPr>
            </w:pPr>
          </w:p>
        </w:tc>
      </w:tr>
      <w:tr>
        <w:trPr>
          <w:trHeight w:val="233"/>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80" w:type="dxa"/>
            <w:vAlign w:val="bottom"/>
          </w:tcPr>
          <w:p>
            <w:pPr>
              <w:spacing w:after="0"/>
              <w:rPr>
                <w:sz w:val="20"/>
                <w:szCs w:val="20"/>
                <w:color w:val="auto"/>
              </w:rPr>
            </w:pPr>
          </w:p>
        </w:tc>
        <w:tc>
          <w:tcPr>
            <w:tcW w:w="13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06"/>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Subscriber relationships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rights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6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Subscriber relationships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rights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Amortization expense related to intangible assets was $106 and $101 for the three months ended June 30, 2025 and 2024, respectively, and $210 and $201 for the six months ended June 30, 2025 and 2024, respectively. Amortization expense was categorized as general and administrative expense.</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June 30, 2025, the total weighted average remaining useful lives of the definite-lived intangible assets was 1.5 years.</w:t>
      </w:r>
    </w:p>
    <w:p>
      <w:pPr>
        <w:spacing w:after="0" w:line="3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Estimated future amortization expense for intangible assets recorded by the Company at June 30, 2025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7"/>
              </w:rPr>
              <w:t>Years ending December 31,</w:t>
            </w:r>
          </w:p>
        </w:tc>
        <w:tc>
          <w:tcPr>
            <w:tcW w:w="796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auto"/>
            </w:tcBorders>
            <w:vMerge w:val="continue"/>
            <w:shd w:val="clear" w:color="auto" w:fill="CCEEFF"/>
          </w:tcPr>
          <w:p>
            <w:pPr>
              <w:spacing w:after="0"/>
              <w:rPr>
                <w:sz w:val="16"/>
                <w:szCs w:val="16"/>
                <w:color w:val="auto"/>
              </w:rPr>
            </w:pPr>
          </w:p>
        </w:tc>
        <w:tc>
          <w:tcPr>
            <w:tcW w:w="796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500"/>
              <w:spacing w:after="0" w:line="123"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96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2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9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amortization expense</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w:t>
      </w:r>
    </w:p>
    <w:p>
      <w:pPr>
        <w:spacing w:after="0" w:line="25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net sales from contracts with customers for the six months ended June 30, 2025 and 2024:</w:t>
      </w: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4280" w:type="dxa"/>
            <w:vAlign w:val="bottom"/>
          </w:tcPr>
          <w:p>
            <w:pPr>
              <w:spacing w:after="0"/>
              <w:rPr>
                <w:sz w:val="19"/>
                <w:szCs w:val="19"/>
                <w:color w:val="auto"/>
              </w:rPr>
            </w:pPr>
          </w:p>
        </w:tc>
        <w:tc>
          <w:tcPr>
            <w:tcW w:w="2740" w:type="dxa"/>
            <w:vAlign w:val="bottom"/>
            <w:gridSpan w:val="4"/>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00" w:type="dxa"/>
            <w:vAlign w:val="bottom"/>
          </w:tcPr>
          <w:p>
            <w:pPr>
              <w:spacing w:after="0"/>
              <w:rPr>
                <w:sz w:val="19"/>
                <w:szCs w:val="19"/>
                <w:color w:val="auto"/>
              </w:rPr>
            </w:pPr>
          </w:p>
        </w:tc>
      </w:tr>
      <w:tr>
        <w:trPr>
          <w:trHeight w:val="230"/>
        </w:trPr>
        <w:tc>
          <w:tcPr>
            <w:tcW w:w="42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216"/>
        </w:trPr>
        <w:tc>
          <w:tcPr>
            <w:tcW w:w="4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w w:val="93"/>
              </w:rPr>
              <w:t>2024</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 over time</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24,674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44,691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49,712</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Product - point in time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3,999</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7,346</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8,228</w:t>
            </w:r>
          </w:p>
        </w:tc>
      </w:tr>
      <w:tr>
        <w:trPr>
          <w:trHeight w:val="241"/>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 net sales</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52,037</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57,940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of transfer of control. The Company's performance is impacted by the levels of activity in the marine and land mobile markets, among other factors.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in any particular period could be impacted by the timing of sales to certain large customers.</w:t>
      </w:r>
    </w:p>
    <w:p>
      <w:pPr>
        <w:spacing w:after="0" w:line="23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 offers a comprehensive family of mobile satellite antenna services and products that provide access to the Internet, television, and VoIP services while on the move. Service sales of airtime service accounted for 79% and 80% of the Company's consolidated net sales for the three months ended June 30, 2025 and 2024, respectively, and 79% and 80% of the Company's consolidated net sales for the six months ended June 30, 2025 and 2024, respectively. The balance of service sales are comprised of distribution of commercially licensed entertainment and news, product repairs, and extended warranty sales. Product sales accounted for 13% and 14% of the Company's consolidated net sales for the three months ended June 30, 2025 and 2024, respectively, and 14% of the Company's consolidated net sales for the both the six months ended June 30, 2025 and 2024.</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other single product class accounts for 10% or more of the Company's consolidated net sales.</w:t>
      </w:r>
    </w:p>
    <w:p>
      <w:pPr>
        <w:spacing w:after="0" w:line="250"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78% and 71% of consolidated net sales for the three months ended June 30, 2025 and 2024, respectively, and 79% and 72% of consolidated net sales for the six months ended June 30, 2025 and 2024, respectively. Sales to Singapore customers represented 21% and 20% of the Company's consolidated net sales for the three months ended June 30, 2025 and 2024, respectively. No other individual foreign country represented 10% or more of the Company's consolidated net sales for the three months ended June 30, 2025 or 2024. Sales to Singapore customers represented 22% and 21% of the Company's consolidated net sales for the six months ended June 30, 2025 and 2024, respectively. No other individual foreign country represented 10% or more of the Company's consolidated net sales for the six months ended June 30, 2025 or 2024.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and Credit Concentrations</w:t>
      </w:r>
    </w:p>
    <w:p>
      <w:pPr>
        <w:spacing w:after="0" w:line="25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One customer accounted for 12% and 11% of consolidated net sales for the six months ended June 30, 2025 and 2024, respectively. No other customers accounted for 10% or more of consolidated net sales for the six months ended June 30, 2025 and 2024. One customer accounted for approximately 20% and 19% of accounts receivable at June 30, 2025 and December 31, 2024, respectively. One customer accounted for 35% and 45% of long-term accounts receivable included in other non-current assets on the consolidated balance sheets related to sales-type leases at June 30, 2025 and December 31, 2024, respectively.</w:t>
      </w:r>
    </w:p>
    <w:p>
      <w:pPr>
        <w:spacing w:after="0" w:line="1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188" w:lineRule="exact"/>
        <w:rPr>
          <w:sz w:val="20"/>
          <w:szCs w:val="20"/>
          <w:color w:val="auto"/>
        </w:rPr>
      </w:pPr>
    </w:p>
    <w:p>
      <w:pPr>
        <w:ind w:left="520" w:hanging="515"/>
        <w:spacing w:after="0"/>
        <w:tabs>
          <w:tab w:leader="none" w:pos="5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effective tax rate for the three and six months ended June 30, 2025 was 10.1% and (20.0)%, respectively, compared with 0.1% and (1.4)%, for the corresponding periods in the prior year.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spacing w:after="0" w:line="1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For the three and six months ended June 30, 2025 and 2024, the effective tax rates differed from the statutory tax rate primarily due to the Company maintaining a valuation allowance reserve on its U.S. deferred tax assets, discrete tax adjustments and the composition of income from foreign jurisdictions taxed at lower rates.</w:t>
      </w:r>
    </w:p>
    <w:p>
      <w:pPr>
        <w:spacing w:after="0" w:line="19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June 30, 2025 and December 31, 2024, the Company had reserves for uncertain tax positions of $767 and $724, respectively. There were no material changes during the six months ended June 30, 2025 to the Company’s reserve for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9" w:name="page20"/>
    <w:bookmarkEnd w:id="19"/>
    <w:p>
      <w:pPr>
        <w:jc w:val="both"/>
        <w:spacing w:after="0" w:line="296" w:lineRule="auto"/>
        <w:rPr>
          <w:sz w:val="20"/>
          <w:szCs w:val="20"/>
          <w:color w:val="auto"/>
        </w:rPr>
      </w:pPr>
      <w:r>
        <w:rPr>
          <w:rFonts w:ascii="Times New Roman" w:cs="Times New Roman" w:eastAsia="Times New Roman" w:hAnsi="Times New Roman"/>
          <w:sz w:val="17"/>
          <w:szCs w:val="17"/>
          <w:color w:val="auto"/>
        </w:rPr>
        <w:t>uncertain tax positions. The Company estimates that it is reasonably possible that the balance of unrecognized tax benefits as of June 30, 2025 may decrease $16 in the next twelve months as a result of a lapse of statutes of limitations and settlements with taxing authorities.</w:t>
      </w:r>
    </w:p>
    <w:p>
      <w:pPr>
        <w:spacing w:after="0" w:line="173"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2020,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192" w:lineRule="exact"/>
        <w:rPr>
          <w:sz w:val="20"/>
          <w:szCs w:val="20"/>
          <w:color w:val="auto"/>
        </w:rPr>
      </w:pPr>
    </w:p>
    <w:p>
      <w:pPr>
        <w:ind w:left="520" w:hanging="515"/>
        <w:spacing w:after="0"/>
        <w:tabs>
          <w:tab w:leader="none" w:pos="5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Lessee</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has operating leases for office facilities, equipment, and satellite service capacity and related equipment. Lease expense was $235 and $366 for the three months ended June 30, 2025 and 2024, respectively, and $506 and $719 for the six months ended June 30, 2025 and 2024, respectively. Short-term operating lease costs were $24 and $20 for the three months ended June 30, 2025 and 2024, respectively, and $46 and $39 for the six months ended June 30, 2025 and 2024, respectively. Maturities of lease liabilities as of June 30, 2025 under operating leases having an initial or remaining non-cancelable term of one year or more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468</w:t>
            </w: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80" w:type="dxa"/>
            <w:vAlign w:val="bottom"/>
          </w:tcPr>
          <w:p>
            <w:pPr>
              <w:spacing w:after="0"/>
              <w:rPr>
                <w:sz w:val="19"/>
                <w:szCs w:val="19"/>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406</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251</w:t>
            </w:r>
          </w:p>
        </w:tc>
      </w:tr>
      <w:tr>
        <w:trPr>
          <w:trHeight w:val="223"/>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2028 and thereafter</w:t>
            </w: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164</w:t>
            </w:r>
          </w:p>
        </w:tc>
      </w:tr>
      <w:tr>
        <w:trPr>
          <w:trHeight w:val="216"/>
        </w:trPr>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1,289</w:t>
            </w:r>
          </w:p>
        </w:tc>
      </w:tr>
      <w:tr>
        <w:trPr>
          <w:trHeight w:val="262"/>
        </w:trPr>
        <w:tc>
          <w:tcPr>
            <w:tcW w:w="8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(76)</w:t>
            </w:r>
          </w:p>
        </w:tc>
      </w:tr>
      <w:tr>
        <w:trPr>
          <w:trHeight w:val="216"/>
        </w:trPr>
        <w:tc>
          <w:tcPr>
            <w:tcW w:w="8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Present value of net minimum operating lease payments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1,213</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installments of obligation under current-operating lease liabilities</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651</w:t>
            </w:r>
          </w:p>
        </w:tc>
      </w:tr>
      <w:tr>
        <w:trPr>
          <w:trHeight w:val="216"/>
        </w:trPr>
        <w:tc>
          <w:tcPr>
            <w:tcW w:w="8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Obligations under long-term operating lease liabilities, excluding current installments</w:t>
            </w:r>
          </w:p>
        </w:tc>
        <w:tc>
          <w:tcPr>
            <w:tcW w:w="8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562</w:t>
            </w: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8"/>
        </w:trPr>
        <w:tc>
          <w:tcPr>
            <w:tcW w:w="8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 (years)</w:t>
            </w: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5.50 %</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Lessor</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enters into leases with certain customers primarily for the TracPhone and TracNet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current portion of the net investment in these leases was $3,110 as of June 30, 2025 and the non-current portion of the net investment in these leases was $2,918 as of June 30, 2025.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0" w:name="page21"/>
    <w:bookmarkEnd w:id="20"/>
    <w:p>
      <w:pPr>
        <w:spacing w:after="0" w:line="296" w:lineRule="auto"/>
        <w:rPr>
          <w:sz w:val="20"/>
          <w:szCs w:val="20"/>
          <w:color w:val="auto"/>
        </w:rPr>
      </w:pPr>
      <w:r>
        <w:rPr>
          <w:rFonts w:ascii="Times New Roman" w:cs="Times New Roman" w:eastAsia="Times New Roman" w:hAnsi="Times New Roman"/>
          <w:sz w:val="17"/>
          <w:szCs w:val="17"/>
          <w:color w:val="auto"/>
        </w:rPr>
        <w:t>consolidated balance sheets. Interest income from sales-type leases was $101 and $117 during the three months ended June 30, 2025 and 2024, respectively, and $203 and $246 during the six months ended June 30, 2025 and 2024, respectively.</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8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future undiscounted cash flows from these leases as of June 30, 2025 are:</w:t>
            </w: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8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2,292</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23"/>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9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6"/>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undiscounted cash flows</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6,509</w:t>
            </w:r>
          </w:p>
        </w:tc>
      </w:tr>
      <w:tr>
        <w:trPr>
          <w:trHeight w:val="262"/>
        </w:trPr>
        <w:tc>
          <w:tcPr>
            <w:tcW w:w="8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6,028</w:t>
            </w: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Difference between undiscounted cash flows and discounted cash flows</w:t>
            </w:r>
          </w:p>
        </w:tc>
        <w:tc>
          <w:tcPr>
            <w:tcW w:w="9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0"/>
        </w:trPr>
        <w:tc>
          <w:tcPr>
            <w:tcW w:w="8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520" w:hanging="515"/>
        <w:spacing w:after="0"/>
        <w:tabs>
          <w:tab w:leader="none" w:pos="5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Restructuring</w:t>
      </w:r>
    </w:p>
    <w:p>
      <w:pPr>
        <w:spacing w:after="0" w:line="239" w:lineRule="exact"/>
        <w:rPr>
          <w:sz w:val="20"/>
          <w:szCs w:val="20"/>
          <w:color w:val="auto"/>
        </w:rPr>
      </w:pPr>
    </w:p>
    <w:p>
      <w:pPr>
        <w:jc w:val="both"/>
        <w:ind w:firstLine="472"/>
        <w:spacing w:after="0" w:line="247" w:lineRule="auto"/>
        <w:rPr>
          <w:sz w:val="20"/>
          <w:szCs w:val="20"/>
          <w:color w:val="auto"/>
        </w:rPr>
      </w:pPr>
      <w:r>
        <w:rPr>
          <w:rFonts w:ascii="Times New Roman" w:cs="Times New Roman" w:eastAsia="Times New Roman" w:hAnsi="Times New Roman"/>
          <w:sz w:val="17"/>
          <w:szCs w:val="17"/>
          <w:color w:val="auto"/>
        </w:rPr>
        <w:t>On February 9, 2024, the Board of Directors of the Company voted to implement a staged wind-down of the Company’s manufacturing activities at its facility in Middletown, Rhode Island.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spacing w:after="0" w:line="21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expects that it will continue its product manufacturing activities for a period of time in order to generate a targeted amount of inventory of maritime satellite connectivity and satellite television terminals to meet anticipated demand and that it will cease substantially all manufacturing activity by the end of 2026. The Company expects to continue to facilitate customer transition to third-party hardware products compatible with the Company’s mobile satellite communications services. The Company also plans to continue to conduct maintenance, refurbishment service, warehousing, shipping and receiving activities at the Middletown, Rhode Island location until the Company's anticipated relocation by early next year.</w:t>
      </w:r>
    </w:p>
    <w:p>
      <w:pPr>
        <w:spacing w:after="0" w:line="196"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As part of this restructuring, the Company reduced its headcount by approximately 75 employees, or approximately 20% of its total workforce as of the time the Company announced the restructuring. In 2024, the Company incurred aggregate severance charges of approximately $3.9 million, consisting of approximately $3.6 million of cash charges and approximately $0.3 million of non-cash charges arising from pre-existing contractual obligations to accelerate vesting of certain outstanding equity compensation awards. For the aggregate severance charges of approximately $3.9 million, the Company recorded in its consolidated statement of operations $0.9 million in cost of product sales, $1.4 million in research and development, $0.7 million in sales, marketing and support, and $0.8 million in general and administrative.</w:t>
      </w:r>
    </w:p>
    <w:p>
      <w:pPr>
        <w:spacing w:after="0" w:line="196" w:lineRule="exact"/>
        <w:rPr>
          <w:sz w:val="20"/>
          <w:szCs w:val="20"/>
          <w:color w:val="auto"/>
        </w:rPr>
      </w:pPr>
    </w:p>
    <w:p>
      <w:pPr>
        <w:ind w:left="520" w:hanging="515"/>
        <w:spacing w:after="0"/>
        <w:tabs>
          <w:tab w:leader="none" w:pos="5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Company manages its operations as a single operating segment for the purpose of assessing performance and making operating decisions, resulting in a single reportable segment. The Company has determined that its Chief Operating Decision Maker (CODM) is its Chief Executive Officer. The CODM reviews the Company’s financial information on a consolidated basis for the purpose of allocating resources and assessing financial performance.</w:t>
      </w:r>
    </w:p>
    <w:p>
      <w:pPr>
        <w:spacing w:after="0" w:line="19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key measure of segment profit or loss that the CODM uses to allocate resources and assess performance is the Company’s consolidated net income (loss). This is reviewed against budgeted expectations to assess segment performance and allocate resources. The Company’s segment net income for the six months ended June 30, 2025 and 2024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060" w:type="dxa"/>
            <w:vAlign w:val="bottom"/>
            <w:gridSpan w:val="4"/>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30"/>
        </w:trPr>
        <w:tc>
          <w:tcPr>
            <w:tcW w:w="6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80" w:type="dxa"/>
            <w:vAlign w:val="bottom"/>
            <w:tcBorders>
              <w:bottom w:val="single" w:sz="8" w:color="auto"/>
            </w:tcBorders>
          </w:tcPr>
          <w:p>
            <w:pPr>
              <w:spacing w:after="0"/>
              <w:rPr>
                <w:sz w:val="19"/>
                <w:szCs w:val="19"/>
                <w:color w:val="auto"/>
              </w:rPr>
            </w:pPr>
          </w:p>
        </w:tc>
      </w:tr>
      <w:tr>
        <w:trPr>
          <w:trHeight w:val="216"/>
        </w:trPr>
        <w:tc>
          <w:tcPr>
            <w:tcW w:w="6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Sales: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3"/>
        </w:trPr>
        <w:tc>
          <w:tcPr>
            <w:tcW w:w="6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23,049</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24,674</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44,691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49,712</w:t>
            </w:r>
          </w:p>
        </w:tc>
      </w:tr>
      <w:tr>
        <w:trPr>
          <w:trHeight w:val="22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8,228</w:t>
            </w:r>
          </w:p>
        </w:tc>
      </w:tr>
      <w:tr>
        <w:trPr>
          <w:trHeight w:val="216"/>
        </w:trPr>
        <w:tc>
          <w:tcPr>
            <w:tcW w:w="652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57,940</w:t>
            </w:r>
          </w:p>
        </w:tc>
      </w:tr>
      <w:tr>
        <w:trPr>
          <w:trHeight w:val="262"/>
        </w:trPr>
        <w:tc>
          <w:tcPr>
            <w:tcW w:w="6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Cost of service sales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VSAT airtime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26,624</w:t>
            </w: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LEO airtime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1,814</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29,513</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product sales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VSAT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LEO</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w:t>
            </w: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TracVision &amp; land mobile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1,943</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(2)</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3,932</w:t>
            </w:r>
          </w:p>
        </w:tc>
      </w:t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9,607</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Research and development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4,592</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23"/>
        </w:trPr>
        <w:tc>
          <w:tcPr>
            <w:tcW w:w="6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(3)</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w:t>
            </w:r>
          </w:p>
        </w:tc>
      </w:tr>
      <w:tr>
        <w:trPr>
          <w:trHeight w:val="216"/>
        </w:trPr>
        <w:tc>
          <w:tcPr>
            <w:tcW w:w="6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5,364</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Sales, marketing and support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7,290</w:t>
            </w: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(4)</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w:t>
            </w:r>
          </w:p>
        </w:tc>
      </w:t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10,718</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6,013</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w:t>
            </w:r>
          </w:p>
        </w:tc>
      </w:tr>
      <w:tr>
        <w:trPr>
          <w:trHeight w:val="223"/>
        </w:trPr>
        <w:tc>
          <w:tcPr>
            <w:tcW w:w="6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(5)</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2,385</w:t>
            </w:r>
          </w:p>
        </w:tc>
      </w:tr>
      <w:tr>
        <w:trPr>
          <w:trHeight w:val="216"/>
        </w:trPr>
        <w:tc>
          <w:tcPr>
            <w:tcW w:w="6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9,425</w:t>
            </w:r>
          </w:p>
        </w:tc>
      </w:tr>
      <w:tr>
        <w:trPr>
          <w:trHeight w:val="262"/>
        </w:trPr>
        <w:tc>
          <w:tcPr>
            <w:tcW w:w="6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segment items (6)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r>
      <w:tr>
        <w:trPr>
          <w:trHeight w:val="262"/>
        </w:trPr>
        <w:tc>
          <w:tcPr>
            <w:tcW w:w="65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241"/>
        </w:trPr>
        <w:tc>
          <w:tcPr>
            <w:tcW w:w="6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Net income (loss)</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20" w:hanging="301"/>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related to Inmarsat, service activations, content service, CommBox Edge and other miscellaneous</w:t>
      </w:r>
    </w:p>
    <w:p>
      <w:pPr>
        <w:spacing w:after="0" w:line="7" w:lineRule="exact"/>
        <w:rPr>
          <w:rFonts w:ascii="Times New Roman" w:cs="Times New Roman" w:eastAsia="Times New Roman" w:hAnsi="Times New Roman"/>
          <w:sz w:val="17"/>
          <w:szCs w:val="17"/>
          <w:color w:val="auto"/>
        </w:rPr>
      </w:pPr>
    </w:p>
    <w:p>
      <w:pPr>
        <w:ind w:left="620" w:hanging="301"/>
        <w:spacing w:after="0" w:line="225"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related to CommBox Edge, TracNet Coastal, obsolete inventory write-off and other miscellaneous</w:t>
      </w:r>
    </w:p>
    <w:p>
      <w:pPr>
        <w:ind w:left="620" w:hanging="301"/>
        <w:spacing w:after="0" w:line="225"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facilities and other less significant expenses</w:t>
      </w:r>
    </w:p>
    <w:p>
      <w:pPr>
        <w:ind w:left="620" w:hanging="301"/>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marketing expenses, external commissions, travel and entertainment, facilities expense, warranty expense and other less significant expenses</w:t>
      </w:r>
    </w:p>
    <w:p>
      <w:pPr>
        <w:ind w:left="620" w:hanging="301"/>
        <w:spacing w:after="0" w:line="225" w:lineRule="auto"/>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financing fees, facilities expense, computer expenses, depreciation and amortization and other less significant expenses</w:t>
      </w:r>
    </w:p>
    <w:p>
      <w:pPr>
        <w:ind w:left="640" w:right="440" w:hanging="321"/>
        <w:spacing w:after="0" w:line="239" w:lineRule="auto"/>
        <w:tabs>
          <w:tab w:leader="none" w:pos="63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segment items includes interest income; other income (expense), net; and income tax expense (benefit) line items on the face of the income statement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2" w:name="page23"/>
    <w:bookmarkEnd w:id="22"/>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Regarding the Company's long-lived assets of $25,346, $5,595 of these assets are located inside of the United States. Regarding the assets located outside of the United States, $6,813 are located in Singapore. The geographic location of the Company's AgilePlans revenue-generating assets has been determined based upon the customer shipping address.</w:t>
      </w:r>
    </w:p>
    <w:p>
      <w:pPr>
        <w:spacing w:after="0" w:line="200" w:lineRule="exact"/>
        <w:rPr>
          <w:sz w:val="20"/>
          <w:szCs w:val="20"/>
          <w:color w:val="auto"/>
        </w:rPr>
      </w:pPr>
    </w:p>
    <w:p>
      <w:pPr>
        <w:spacing w:after="0" w:line="224" w:lineRule="exact"/>
        <w:rPr>
          <w:sz w:val="20"/>
          <w:szCs w:val="20"/>
          <w:color w:val="auto"/>
        </w:rPr>
      </w:pPr>
    </w:p>
    <w:p>
      <w:pPr>
        <w:ind w:left="520" w:hanging="515"/>
        <w:spacing w:after="0"/>
        <w:tabs>
          <w:tab w:leader="none" w:pos="5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Buyback Program</w:t>
      </w:r>
    </w:p>
    <w:p>
      <w:pPr>
        <w:spacing w:after="0" w:line="252"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On December 9, 2024, the Board of Directors of the Company authorized a share repurchase program pursuant to which the Company may purchase outstanding shares of the Company’s common stock for an aggregate purchase price of up to $10 million.</w:t>
      </w:r>
    </w:p>
    <w:p>
      <w:pPr>
        <w:spacing w:after="0" w:line="160" w:lineRule="exact"/>
        <w:rPr>
          <w:sz w:val="20"/>
          <w:szCs w:val="20"/>
          <w:color w:val="auto"/>
        </w:rPr>
      </w:pPr>
    </w:p>
    <w:p>
      <w:pPr>
        <w:jc w:val="both"/>
        <w:ind w:firstLine="472"/>
        <w:spacing w:after="0" w:line="244" w:lineRule="auto"/>
        <w:rPr>
          <w:sz w:val="20"/>
          <w:szCs w:val="20"/>
          <w:color w:val="auto"/>
        </w:rPr>
      </w:pPr>
      <w:r>
        <w:rPr>
          <w:rFonts w:ascii="Times New Roman" w:cs="Times New Roman" w:eastAsia="Times New Roman" w:hAnsi="Times New Roman"/>
          <w:sz w:val="17"/>
          <w:szCs w:val="17"/>
          <w:color w:val="auto"/>
        </w:rPr>
        <w:t>Under the program, the Company, at management’s discretion, may repurchase shares from time to time through various means, including on the open market, in privately negotiated transactions or block transactions, or through an accelerated repurchase agreement. The Company may elect to make purchases under Rule 10b-18 under the Securities Exchange Act of 1934, as amended, which imposes certain volume limitations, and/or under Rule 10b5-1 under that act, which would permit repurchases to occur during periods when the Company might otherwise be precluded from making purchases under insider trading laws or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the Company to repurchase any minimum number or dollar amount of shares, and the program may be modified, suspended or terminated at any time without prior notice.</w:t>
      </w:r>
    </w:p>
    <w:p>
      <w:pPr>
        <w:spacing w:after="0" w:line="218"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months ended June 30, 2025, the Company repurchased 211 shares of common stock in open market transactions at a cost of approximately $1,093. During the six months ended June 30, 2025, the Company repurchased 242 shares of common stock in open market transactions at a cost of approximately $1,256. Except as noted above, there were no other repurchase programs outstanding.</w:t>
      </w:r>
    </w:p>
    <w:p>
      <w:pPr>
        <w:spacing w:after="0" w:line="200" w:lineRule="exact"/>
        <w:rPr>
          <w:sz w:val="20"/>
          <w:szCs w:val="20"/>
          <w:color w:val="auto"/>
        </w:rPr>
      </w:pPr>
    </w:p>
    <w:p>
      <w:pPr>
        <w:spacing w:after="0" w:line="224" w:lineRule="exact"/>
        <w:rPr>
          <w:sz w:val="20"/>
          <w:szCs w:val="20"/>
          <w:color w:val="auto"/>
        </w:rPr>
      </w:pPr>
    </w:p>
    <w:p>
      <w:pPr>
        <w:ind w:left="520" w:hanging="515"/>
        <w:spacing w:after="0"/>
        <w:tabs>
          <w:tab w:leader="none" w:pos="5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52"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 the U.S. The OBBBA makes permanent key elements of the Tax Cuts and Jobs Act, including 100% bonus depreciation, domestic research cost expensing, and the business interest expense limitation. The legislation has multiple effective dates, with certain provisions effective in 2025 and others implemented through 2027. We are currently assessing its impact on our consolidated financial statements.</w:t>
      </w:r>
    </w:p>
    <w:p>
      <w:pPr>
        <w:spacing w:after="0" w:line="200" w:lineRule="exact"/>
        <w:rPr>
          <w:sz w:val="20"/>
          <w:szCs w:val="20"/>
          <w:color w:val="auto"/>
        </w:rPr>
      </w:pPr>
    </w:p>
    <w:p>
      <w:pPr>
        <w:spacing w:after="0" w:line="205"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On July 23, 2025, the Company entered into a new lease agreement for approximately 32,000 square feet of office and warehouse space in Bristol, Rhode Island. The Company currently plans to migrate its Rhode Island operations to this leased facility in the spring of 2026, at which point its general and administrative expense will include lease expense at the rate of approximately $0.6 million for the first year of the lease (excluding three months of free rent), with fixed annual increases thereafter. The lease agreement is for a term of 87 months with an option to extend the lease an additional 10 years.</w:t>
      </w:r>
    </w:p>
    <w:p>
      <w:pPr>
        <w:spacing w:after="0" w:line="192" w:lineRule="exact"/>
        <w:rPr>
          <w:sz w:val="20"/>
          <w:szCs w:val="20"/>
          <w:color w:val="auto"/>
        </w:rPr>
      </w:pPr>
    </w:p>
    <w:p>
      <w:pPr>
        <w:ind w:right="1400"/>
        <w:spacing w:after="0" w:line="492" w:lineRule="auto"/>
        <w:rPr>
          <w:sz w:val="20"/>
          <w:szCs w:val="20"/>
          <w:color w:val="auto"/>
        </w:rPr>
      </w:pPr>
      <w:r>
        <w:rPr>
          <w:rFonts w:ascii="Times New Roman" w:cs="Times New Roman" w:eastAsia="Times New Roman" w:hAnsi="Times New Roman"/>
          <w:sz w:val="17"/>
          <w:szCs w:val="17"/>
          <w:b w:val="1"/>
          <w:bCs w:val="1"/>
          <w:color w:val="auto"/>
        </w:rPr>
        <w:t xml:space="preserve">ITEM 2. MANAGEMENT’S DISCUSSION AND ANALYSIS OF FINANCIAL CONDITION AND RESULTS OF OPERATIONS </w:t>
      </w:r>
      <w:r>
        <w:rPr>
          <w:rFonts w:ascii="Times New Roman" w:cs="Times New Roman" w:eastAsia="Times New Roman" w:hAnsi="Times New Roman"/>
          <w:sz w:val="17"/>
          <w:szCs w:val="17"/>
          <w:b w:val="1"/>
          <w:bCs w:val="1"/>
          <w:i w:val="1"/>
          <w:iCs w:val="1"/>
          <w:color w:val="auto"/>
        </w:rPr>
        <w:t>Introduction</w:t>
      </w:r>
    </w:p>
    <w:p>
      <w:pPr>
        <w:spacing w:after="0" w:line="11"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i w:val="1"/>
          <w:iCs w:val="1"/>
          <w:color w:val="auto"/>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II of this quarterly report on Form 10-Q.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are a leading global provider of innovative and technology-driven connectivity solutions to primarily maritime commercial, leisure, and military/government customers. We provide global high-speed Internet and Voice over Internet Protocol (VoIP) services via satellite to mobile users at sea and on land. We are also a leading provider of commercially licensed entertainment, including movies, television programming, news, and music, to commercial customers in the maritime market, along with supplemental value-added cybersecurity, email, and crew internet services.</w:t>
      </w:r>
    </w:p>
    <w:p>
      <w:pPr>
        <w:spacing w:after="0" w:line="194"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We generate a substantial majority of our revenues from sales of satellite Internet airtime services. We provide, for monthly fixed fees and per-usage fees, satellite connectivity encompassing broadband Internet, data and VoIP services, to customers via our global HTS network. In mid-2022, we launched our KVH ONE hybrid network, which integrates global satellite service (including Ku-band VSAT using the Intelsat (acquired by SES in July 2025) HTS network along with Starlink, OneWeb, Iridium, and other satellite services), KVH-provided cellular service in more than 150 countries, and shore-based Wi-Fi access. Revenue from our cellular airtime service has supplemented, and we expect will continue to supplement, our satellite-only airtime revenue. In addition, we earn monthly usage fees from sales of third-party satellite connectivity for VoIP, data and Internet services to our Inmarsat, Iridium, and Starlink customers who choose to activate their subscriptions with us. In March 2023, we began selling Starlink terminals and, in September 2023, we became a Starlink authorized hardware and airtime reseller offering Global Priority data plans for maritime use. In October 2024, we expanded our portfolio to include Starlink Local Priority data plans, which will primarily be used for stationary and in-motion commercial use on land. In December 2024, we introduced our TracNet Coastal and TracNet Coastal Pro terminals, expanding our extensive multi-channel portfolio of maritime products and services with a 5G/cellular and Wi-Fi system. We expect to earn usage fees from our offering of OneWeb service, which we launched in January 2025. We also generate service revenue from product repairs and extended warranty sales.</w:t>
      </w:r>
    </w:p>
    <w:p>
      <w:pPr>
        <w:spacing w:after="0" w:line="200" w:lineRule="exact"/>
        <w:rPr>
          <w:sz w:val="20"/>
          <w:szCs w:val="20"/>
          <w:color w:val="auto"/>
        </w:rPr>
      </w:pPr>
    </w:p>
    <w:p>
      <w:pPr>
        <w:spacing w:after="0" w:line="21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service sales also include the distribution of entertainment, including movies, television programming, news and music, to commercial customers in the maritime market through KVH Media Group, along with supplemental value-added services.</w:t>
      </w:r>
    </w:p>
    <w:p>
      <w:pPr>
        <w:spacing w:after="0" w:line="17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Historically, our Ku-band VSAT communications service has been the primary driver of revenue growth. However, these services represent a declining percentage of our revenues in the face of increased demand for and competition from emerging LEO services. Our satellite-only and hybrid products enable marine customers to receive data, VoIP, and value-added services via satellite, cellular, and shore-based Wi-Fi networks onboard commercial, leisure, and military/government vessels. In addition, our in-motion television terminals permit customers to receive live digital television via regional satellite services in marine vessels, recreational vehicles, buses and automobiles. We sell our products through an extensive international network of dealers and distributors. We also sell and lease products to service providers and end users.</w:t>
      </w:r>
    </w:p>
    <w:p>
      <w:pPr>
        <w:spacing w:after="0" w:line="19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into 2026 and that we will cease substantially all manufacturing activity by the end of 2026. This wind-down has been extended from the end of 2025 because the reduced workforce has been prioritizing fulfilling LEO product orders and refurbishing AgilePlan terminals over manufacturing new units. We expect to continue to facilitate customer transition to third-party hardware products compatible with our mobile satellite communications services. We also plan to continue to conduct maintenance, service, warehousing, shipping and receiving activities at the Middletown, Rhode Island location until our anticipated relocation by early next year.</w:t>
      </w:r>
    </w:p>
    <w:p>
      <w:pPr>
        <w:spacing w:after="0" w:line="201"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As part of this restructuring, we reduced our headcount by approximately 75 employees, or approximately 20% of our total workforce as of the time we announced the restructuring. As of June 30, 2024, all employee terminations were completed. During 2024, we incurred $3.9 million of severance charges for this and other restructurings. The $3.9 million of severance charges incurred during the year consisted of approximately $3.6 million of cash charges and approximately $0.3 million of non-cash charges arising from pre-existing contractual obligations to accelerate vesting of certain outstanding equity compensation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4" w:name="page25"/>
    <w:bookmarkEnd w:id="24"/>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second quarter of 2024, we expanded our relationship with Starlink through a bulk data distribution agreement. Under the agreement, we prepaid $17.0 million for access to a large block of Starlink Global Priority data at favorable rates. The new agreement offers us increased flexibility in the development and sale of custom airtime plans using Starlink’s Global Priority service.</w:t>
      </w:r>
    </w:p>
    <w:p>
      <w:pPr>
        <w:spacing w:after="0" w:line="190"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During the third quarter of 2024, we commenced our plan to sell the warehouse building and surface parking lot located at 75 Enterprise Center in Middletown, Rhode Island (“75 Enterprise Center”). As of September 30, 2024, 75 Enterprise Center had a carrying value of approximately $7.8 million. We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We recorded an impairment charge of $1.1 million in 2024, as the carrying value of 75 Enterprise Center at the time the asset for sale criteria were met exceeded the fair value less costs to sell.</w:t>
      </w:r>
    </w:p>
    <w:p>
      <w:pPr>
        <w:spacing w:after="0" w:line="19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 December 2024, we entered into an agreement to sell 75 Enterprise Center for $8.5 million. Consummation of the transaction is subject to customary closing conditions. Under the purchase agreement, the buyer has six months to obtain specified zoning approvals, with up to three 30-day extensions, as well as a 60-day inspection period, subject to potential extension. The buyer may terminate the agreement at any time before the expiration of the inspection period and may also terminate the agreement if the specified zoning approvals are denied before the expiration of the zoning approval period. Upon consummation of the sale, we will remain in possession of the property as a tenant under a triple-net lease having an initial term of six months, which we can extend for up to an additional three months. Rent during the initial term is approximately $25,000 per month, which would increase to approximately $44,000 per month during any extension. We anticipate that this sale will be completed in September 2025 and we plan to lease this property until the end of March 2026.</w:t>
      </w:r>
    </w:p>
    <w:p>
      <w:pPr>
        <w:spacing w:after="0" w:line="20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Additionally, in the third quarter of 2024, we commenced our plan to sell the property, building, improvements, and land located at 50 Enterprise Center in Middletown, Rhode Island (“50 Enterprise Center”). As of September 30, 2024, 50 Enterprise Center had a carrying value of approximately $3.6 million. We determined that all of the criteria to classify 50 Enterprise Center as held for sale had been met as of September 30, 2024. The estimated fair value of 50 Enterprise Center at that date exceeded its carrying value. In December 2024, we entered into an agreement to sell 50 Enterprise Center, subject to the buyer’s right to terminate the agreement during an inspection period. In January 2025, before the end of the inspection period, we received notice of termination from the buyer. In March 2025, we entered into an agreement with another buyer to sell 50 Enterprise Center for $5.3 million. The sale was completed in June 2025, resulting in a gain of $1.3 million, which is included in other income (expense), net in our consolidated statement of operations for the three and six months ended June 30, 2025. The sale generated $4.9 million of net cash.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consolidated interim financial statements, which have been prepared in accordance with accounting principles generally accepted in the United States of America.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2024.</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Critical accounting estimates are those estimates made that involve a significant level of estimation uncertainty and have had or are reasonably likely to have an impact on our statement of operations. We believe that our accounting estimates for intangible assets and other long-lived assets are the only estimates critical to an understanding and evaluation of our financial results for the six months ended June 30, 2025, as discussed below.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for the periods indicated, certain financial data relating to our operations expressed as a percentage of net sales: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40" w:type="dxa"/>
            <w:vAlign w:val="bottom"/>
          </w:tcPr>
          <w:p>
            <w:pPr>
              <w:spacing w:after="0"/>
              <w:rPr>
                <w:sz w:val="19"/>
                <w:szCs w:val="19"/>
                <w:color w:val="auto"/>
              </w:rPr>
            </w:pPr>
          </w:p>
        </w:tc>
        <w:tc>
          <w:tcPr>
            <w:tcW w:w="3360" w:type="dxa"/>
            <w:vAlign w:val="bottom"/>
            <w:gridSpan w:val="6"/>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40" w:type="dxa"/>
            <w:vAlign w:val="bottom"/>
            <w:gridSpan w:val="6"/>
          </w:tcPr>
          <w:p>
            <w:pPr>
              <w:jc w:val="center"/>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19"/>
                <w:szCs w:val="19"/>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86.1 %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85.9 %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85.8 %</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16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sales</w:t>
            </w:r>
          </w:p>
        </w:tc>
        <w:tc>
          <w:tcPr>
            <w:tcW w:w="1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and expenses: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Costs of service sales</w:t>
            </w:r>
          </w:p>
        </w:tc>
        <w:tc>
          <w:tcPr>
            <w:tcW w:w="1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of product sales</w:t>
            </w:r>
          </w:p>
        </w:tc>
        <w:tc>
          <w:tcPr>
            <w:tcW w:w="1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2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1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18.5</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105.1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111.6</w:t>
            </w:r>
          </w:p>
        </w:tc>
        <w:tc>
          <w:tcPr>
            <w:tcW w:w="0" w:type="dxa"/>
            <w:vAlign w:val="bottom"/>
          </w:tcPr>
          <w:p>
            <w:pPr>
              <w:spacing w:after="0"/>
              <w:rPr>
                <w:sz w:val="1"/>
                <w:szCs w:val="1"/>
                <w:color w:val="auto"/>
              </w:rPr>
            </w:pPr>
          </w:p>
        </w:tc>
      </w:tr>
      <w:tr>
        <w:trPr>
          <w:trHeight w:val="223"/>
        </w:trPr>
        <w:tc>
          <w:tcPr>
            <w:tcW w:w="41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Loss from operations</w:t>
            </w:r>
          </w:p>
        </w:tc>
        <w:tc>
          <w:tcPr>
            <w:tcW w:w="16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1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150"/>
        </w:trPr>
        <w:tc>
          <w:tcPr>
            <w:tcW w:w="4140" w:type="dxa"/>
            <w:vAlign w:val="bottom"/>
            <w:shd w:val="clear" w:color="auto" w:fill="CCEEFF"/>
          </w:tcPr>
          <w:p>
            <w:pPr>
              <w:ind w:left="660"/>
              <w:spacing w:after="0" w:line="150" w:lineRule="exact"/>
              <w:rPr>
                <w:sz w:val="20"/>
                <w:szCs w:val="20"/>
                <w:color w:val="auto"/>
              </w:rPr>
            </w:pPr>
            <w:r>
              <w:rPr>
                <w:rFonts w:ascii="Times New Roman" w:cs="Times New Roman" w:eastAsia="Times New Roman" w:hAnsi="Times New Roman"/>
                <w:sz w:val="17"/>
                <w:szCs w:val="17"/>
                <w:color w:val="auto"/>
              </w:rPr>
              <w:t>Income (loss) before income tax expense</w:t>
            </w: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(benefit)</w:t>
            </w:r>
          </w:p>
        </w:tc>
        <w:tc>
          <w:tcPr>
            <w:tcW w:w="1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6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41"/>
        </w:trPr>
        <w:tc>
          <w:tcPr>
            <w:tcW w:w="41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income (loss)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June 30, 2025 and 2024</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1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41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2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Our net sales for the three months ended June 30, 2025 and 2024 were as follows: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For the three months ended June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150"/>
        </w:trPr>
        <w:tc>
          <w:tcPr>
            <w:tcW w:w="4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3"/>
            <w:vMerge w:val="restart"/>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2025 vs. 2024</w:t>
            </w:r>
          </w:p>
        </w:tc>
        <w:tc>
          <w:tcPr>
            <w:tcW w:w="0" w:type="dxa"/>
            <w:vAlign w:val="bottom"/>
          </w:tcPr>
          <w:p>
            <w:pPr>
              <w:spacing w:after="0"/>
              <w:rPr>
                <w:sz w:val="1"/>
                <w:szCs w:val="1"/>
                <w:color w:val="auto"/>
              </w:rPr>
            </w:pPr>
          </w:p>
        </w:tc>
      </w:tr>
      <w:tr>
        <w:trPr>
          <w:trHeight w:val="236"/>
        </w:trPr>
        <w:tc>
          <w:tcPr>
            <w:tcW w:w="4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30,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7"/>
          </w:tcPr>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2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24,674</w:t>
            </w:r>
          </w:p>
        </w:tc>
        <w:tc>
          <w:tcPr>
            <w:tcW w:w="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1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41"/>
        </w:trPr>
        <w:tc>
          <w:tcPr>
            <w:tcW w:w="4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1960" w:type="dxa"/>
            <w:vAlign w:val="bottom"/>
            <w:tcBorders>
              <w:bottom w:val="single" w:sz="8" w:color="CCEEFF"/>
            </w:tcBorders>
            <w:gridSpan w:val="3"/>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Net sales decreased by $2.1 million, or 7%, for the three months ended June 30, 2025 as compared to the three months ended June 30, 2024. Service sales decreased by $1.6 million, or 7%, to $23.0 million for the three months ended June 30, 2025 from $24.7 million for the three months ended June 30, 2024. The decrease in service sales was primarily due to a $1.9 million decrease in our airtime service sales, which reflected a $2.5 million reduction in sales related to the U.S. Coast Guard contract downgrade in the third quarter of 2024, as well as a decrease in other VSAT subscribers. These decreases in VSAT service sales were partially offset by an increase in LEO service sales. For the three months ended June 30, 2025, LEO services sales represented over 30% of airtime services sales, as compared to less than 10% for the three months ended June 30, 2024. The increase in LEO service sales as a percentage of total airtime sales resulted from both a substantial increase in LEO service sales and a substantial decrease in VSAT service sales. Alternative solutions offered by recent LEO entrants have heightened competition in the global leisure segment and in commercial and government markets.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6" w:name="page27"/>
    <w:bookmarkEnd w:id="26"/>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Product sales decreased by $0.4 million, or 11%, to $3.6 million for the three months ended June 30, 2025 from $4.0 million for the three months ended June 30, 2024. The decrease in product sales was primarily due to a $0.5 million decrease in Starlink product sales and a $0.2 million decrease in TracVision product sales, partially offset by a $0.3 million increase in OneWeb product sales and a $0.2 million increase in VSAT Broadband product sales. The decrease in product sales was primarily due to discounted pricing on Starlink products. Competition from low-cost alternatives to VSAT, which include streaming capabilities, has had a significant impact on sales of our TracVision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of Sales</w:t>
      </w:r>
    </w:p>
    <w:p>
      <w:pPr>
        <w:spacing w:after="0" w:line="22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Costs of sales consists of costs of service sales and costs of product sales. Costs of sales decreased by $2.3 million, or 12%, in the three months ended June 30, 2025 to $17.5 million from $19.8 million in the three months ended June 30, 2024. The decrease in costs of sales was driven by a $1.3 million decrease in costs of service sales and a $1.0 million decrease in costs of product sales. As a percentage of net sales, costs of sales were 66% and 69% for the three months ended June 30, 2025 and 2024, respectively.</w:t>
      </w:r>
    </w:p>
    <w:p>
      <w:pPr>
        <w:spacing w:after="0" w:line="194"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Our costs of service sales consist primarily of satellite service capacity, depreciation, service network overhead expense associated with our VSAT Broadband network infrastructure, direct network service labor, product installation costs, media materials and distribution costs, and service repair materials. For the three months ended June 30, 2025, costs of service sales decreased by $1.3 million, or 8%, to $14.2 million from $15.5 million in the three months ended June 30, 2024, primarily due to a $1.2 million decrease in airtime costs of service sales. As a percentage of service sales, costs of service sales were 62% and 63% for the three months ended June 30, 2025 and 2024, respectively. During the second quarter of 2024, we purchased from Starlink access to a large block of data at favorable rates. As a result of this purchase, during the three months ended June 30, 2025 our gross margin percentage on Starlink airtime services improved year over year.</w:t>
      </w:r>
    </w:p>
    <w:p>
      <w:pPr>
        <w:spacing w:after="0" w:line="200" w:lineRule="exact"/>
        <w:rPr>
          <w:sz w:val="20"/>
          <w:szCs w:val="20"/>
          <w:color w:val="auto"/>
        </w:rPr>
      </w:pPr>
    </w:p>
    <w:p>
      <w:pPr>
        <w:spacing w:after="0" w:line="21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Our costs of product sales consist primarily of materials, manufacturing overhead, and direct labor used to produce our products. For the three months ended June 30, 2025, costs of product sales decreased by $1.0 million, or 24%, to $3.3 million from $4.3 million in the three months ended June 30, 2024, primarily due to a $0.8 million decrease in various manufacturing and other unabsorbed expenses and a $0.6 million decrease in Starlink cost of product sales. These decreases were partially offset by a $0.3 million increase in OneWeb cost of product sales. As a percentage of product sales, costs of product sales were 92% and 108% for the three months ended June 30, 2025 and 2024, respectively. Cost of product sales decreased as a percentage of product sales primarily due to the decrease in various manufacturing and other unabsorbed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8"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Research and development expense consists of direct labor, materials, external consultants, and related overhead costs that support our internally funded product development and product sustaining engineering activities. Research and development expense for the three months ended June 30, 2025 decreased by $1.4 million, or 61%, to $0.9 million from $2.3 million for the three months ended June 30, 2024. The decrease in research and development expense resulted primarily from a $1.2 million decrease in salaries, benefits and taxes, after giving effect to $0.3 million in costs incurred during the three months ended June 30, 2024 related to the reduction in our workforce. As a percentage of net sales, research and development expense was 3% and 8% for the three months ended June 30, 2025 and 2024, respectively.</w:t>
      </w:r>
    </w:p>
    <w:p>
      <w:pPr>
        <w:spacing w:after="0" w:line="198"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for the three months ended June 30, 2025 decreased by $0.3 million, or 6%, to $5.0 million from $5.3 million for the three months ended June 30, 2024. The decrease in sales, marketing and support expense resulted primarily from a $0.3 million decrease in salaries, benefits and taxes and a $0.3 million decrease in facilities expense, partially offset by a $0.2 million increase in professional fees and a $0.2 million increase in warranty expense. As a percentage of net sales, sales, marketing and support expense was 19% for both the three months ended June 30, 2025 and 2024.</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7" w:name="page28"/>
    <w:bookmarkEnd w:id="27"/>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General and administrative expense consists of costs attributable to management, finance and accounting, information technology, human resources, certain outside professional services, and other administrative costs. General and administrative expense for the three months ended June 30, 2025 decreased by $0.6 million, or 13%, to $3.6 million from $4.1 million for the three months ended June 30, 2024. The decrease in general and administrative expense resulted primarily from a $0.5 million decrease in salaries, benefits and taxes, after giving effect to $0.3 million in costs incurred during the three months ended June 30, 2024 related to the reduction in our workforce. In addition, there was a $0.2 million decrease in depreciation expense. These decreases in expense were partially offset by a $0.4 million increase in facilities expense. As a percentage of net sales, general and administrative expense was 13% and 14% for the three months ended June 30, 2025 and 2024, respectively. We currently plan to migrate our Rhode Island operations to a leased facility in the spring of 2026, at which point our general and administrative expense will include lease expense at the rate of approximately $0.6 million for the first year of the lease (excluding three months of free rent).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(Expense), Net</w:t>
      </w:r>
    </w:p>
    <w:p>
      <w:pPr>
        <w:spacing w:after="0" w:line="22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Interest income represents interest earned on our cash and cash equivalents, as well as from investments and our sale-type lease receivables. Interest income decreased by $0.3 million to $0.6 million for the three months ended June 30, 2025 from $0.9 million for the three months ended June 30, 2024, primarily as a result of lower cash balances in 2025 as a result of the $17.0 million prepayment in June 2024 for access to a large block of Starlink Mobile Priority data at favorable rates. Of the current period interest income of $0.6 million, $0.5 million is attributable to interest earned on cash and cash equivalents, while the remaining $0.1 million was attributable to interest from lease receivables. Other income (expense), net changed by $1.2 million to other income, net of $0.8 million for the three months ended June 30, 2025 from other expense, net of $0.4 million for the three months ended June 30, 2024. This change was driven primarily by a $1.3 million gain on the sale of 50 Enterprise Center in June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54"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Income tax expense for the three months ended June 30, 2025 was $0.1 million and primarily related to withholding taxes imposed in foreign jurisdictions. Income tax benefit for the three months ended June 30, 2024 was less than $0.1 million and related to taxes on income earned in foreign jurisdictions.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 xml:space="preserve">Six months ended June 30, 2025 </w:t>
      </w:r>
      <w:r>
        <w:rPr>
          <w:rFonts w:ascii="Times New Roman" w:cs="Times New Roman" w:eastAsia="Times New Roman" w:hAnsi="Times New Roman"/>
          <w:sz w:val="17"/>
          <w:szCs w:val="17"/>
          <w:b w:val="1"/>
          <w:bCs w:val="1"/>
          <w:color w:val="auto"/>
        </w:rPr>
        <w:t>and 2024</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net sales for the six months ended June 30, 2025 and 2024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216"/>
        </w:trPr>
        <w:tc>
          <w:tcPr>
            <w:tcW w:w="5760" w:type="dxa"/>
            <w:vAlign w:val="bottom"/>
          </w:tcPr>
          <w:p>
            <w:pPr>
              <w:spacing w:after="0"/>
              <w:rPr>
                <w:sz w:val="18"/>
                <w:szCs w:val="18"/>
                <w:color w:val="auto"/>
              </w:rPr>
            </w:pPr>
          </w:p>
        </w:tc>
        <w:tc>
          <w:tcPr>
            <w:tcW w:w="2720" w:type="dxa"/>
            <w:vAlign w:val="bottom"/>
            <w:gridSpan w:val="6"/>
          </w:tcPr>
          <w:p>
            <w:pPr>
              <w:ind w:left="40"/>
              <w:spacing w:after="0"/>
              <w:rPr>
                <w:sz w:val="20"/>
                <w:szCs w:val="20"/>
                <w:color w:val="auto"/>
              </w:rPr>
            </w:pPr>
            <w:r>
              <w:rPr>
                <w:rFonts w:ascii="Times New Roman" w:cs="Times New Roman" w:eastAsia="Times New Roman" w:hAnsi="Times New Roman"/>
                <w:sz w:val="17"/>
                <w:szCs w:val="17"/>
                <w:b w:val="1"/>
                <w:bCs w:val="1"/>
                <w:color w:val="auto"/>
              </w:rPr>
              <w:t>For the six months ended June 30,</w:t>
            </w:r>
          </w:p>
        </w:tc>
        <w:tc>
          <w:tcPr>
            <w:tcW w:w="340" w:type="dxa"/>
            <w:vAlign w:val="bottom"/>
          </w:tcPr>
          <w:p>
            <w:pPr>
              <w:spacing w:after="0"/>
              <w:rPr>
                <w:sz w:val="18"/>
                <w:szCs w:val="18"/>
                <w:color w:val="auto"/>
              </w:rPr>
            </w:pPr>
          </w:p>
        </w:tc>
        <w:tc>
          <w:tcPr>
            <w:tcW w:w="1580" w:type="dxa"/>
            <w:vAlign w:val="bottom"/>
            <w:gridSpan w:val="2"/>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2025 vs. 2024</w:t>
            </w:r>
          </w:p>
        </w:tc>
        <w:tc>
          <w:tcPr>
            <w:tcW w:w="840" w:type="dxa"/>
            <w:vAlign w:val="bottom"/>
          </w:tcPr>
          <w:p>
            <w:pPr>
              <w:spacing w:after="0"/>
              <w:rPr>
                <w:sz w:val="18"/>
                <w:szCs w:val="18"/>
                <w:color w:val="auto"/>
              </w:rPr>
            </w:pPr>
          </w:p>
        </w:tc>
      </w:tr>
      <w:tr>
        <w:trPr>
          <w:trHeight w:val="216"/>
        </w:trPr>
        <w:tc>
          <w:tcPr>
            <w:tcW w:w="57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16"/>
        </w:trPr>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5"/>
          </w:tcPr>
          <w:p>
            <w:pPr>
              <w:ind w:left="28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840" w:type="dxa"/>
            <w:vAlign w:val="bottom"/>
          </w:tcPr>
          <w:p>
            <w:pPr>
              <w:spacing w:after="0"/>
              <w:rPr>
                <w:sz w:val="18"/>
                <w:szCs w:val="18"/>
                <w:color w:val="auto"/>
              </w:rPr>
            </w:pPr>
          </w:p>
        </w:tc>
      </w:tr>
      <w:tr>
        <w:trPr>
          <w:trHeight w:val="223"/>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(5,021)</w:t>
            </w: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3"/>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6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1"/>
        </w:trPr>
        <w:tc>
          <w:tcPr>
            <w:tcW w:w="5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(5,903)</w:t>
            </w:r>
          </w:p>
        </w:tc>
        <w:tc>
          <w:tcPr>
            <w:tcW w:w="6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Net sales decreased by $5.9 million, or 10%, for the six months ended June 30, 2025 as compared to the six months ended June 30, 2024. Service sales decreased by $5.0 million, or 10%, to $44.7 million for the six months ended June 30, 2025 from $49.7 million for the six months ended June 30, 2024. The decrease in service sales was primarily due to a $5.4 million decrease in our airtime service sales, of which $4.9 million related to the U.S. Coast Guard contract downgrade. In addition, there was a decrease in other VSAT subscribers, which was partially offset by an increase in LEO service sales. For the six months ended June 30, 2025, LEO services sales represented over 25% of airtime services sales, as compared to less than 10% for the six months ended June 30, 2024. The increase in LEO service sales as a percentage of total airtime sales resulted from both a substantial increase in LEO service sales and a substantial decrease in VSAT service sales. Alternative solutions offered by recent LEO entrants have heightened competition in the global leisure segment and in commercial and government markets.</w:t>
      </w:r>
    </w:p>
    <w:p>
      <w:pPr>
        <w:spacing w:after="0" w:line="205" w:lineRule="exact"/>
        <w:rPr>
          <w:sz w:val="20"/>
          <w:szCs w:val="20"/>
          <w:color w:val="auto"/>
        </w:rPr>
      </w:pPr>
    </w:p>
    <w:p>
      <w:pPr>
        <w:jc w:val="both"/>
        <w:ind w:firstLine="472"/>
        <w:spacing w:after="0" w:line="266" w:lineRule="auto"/>
        <w:rPr>
          <w:sz w:val="20"/>
          <w:szCs w:val="20"/>
          <w:color w:val="auto"/>
        </w:rPr>
      </w:pPr>
      <w:r>
        <w:rPr>
          <w:rFonts w:ascii="Times New Roman" w:cs="Times New Roman" w:eastAsia="Times New Roman" w:hAnsi="Times New Roman"/>
          <w:sz w:val="17"/>
          <w:szCs w:val="17"/>
          <w:color w:val="auto"/>
        </w:rPr>
        <w:t>Product sales decreased by $0.9 million, or 11%, to $7.3 million for the six months ended June 30, 2025 from $8.2 million for the six months ended June 30, 2024. The decrease in product sales was primarily due to a $0.7 million decrease in TracVision product sales, a $0.4 million decrease in Starlink product sales and a $0.3 million decrease in accessory and service parts product sales, partially offset by a $0.3 million increase in OneWeb product sales and a $0.2 million increase in VSAT broadband product sales. The decline in product sales was primarily driven by product sales mix and discounted pricing on Starlink units. Competition from low-cost alternatives to VSAT, which include streaming capabilities, has had a significant impact on sales of our TracVision products.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of Sales</w:t>
      </w:r>
    </w:p>
    <w:p>
      <w:pPr>
        <w:spacing w:after="0" w:line="228"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Costs of sales decreased by $3.7 million, or 9%, in the six months ended June 30, 2025 to $35.5 million from $39.1 million in the six months ended June 30, 2024. The decrease in costs of sales was driven by a $2.6 million decrease in costs of product sales and a $1.1 million decrease in costs of service sales. As a percentage of net sales, costs of sales were 68% for both the six months ended June 30, 2025 and 2024.</w:t>
      </w:r>
    </w:p>
    <w:p>
      <w:pPr>
        <w:spacing w:after="0" w:line="19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For the six months ended June 30, 2025, costs of service sales decreased by $1.1 million, or 4%, to $28.4 million from $29.5 million for the six months ended June 30, 2024, primarily due to a $1.1 million decrease in airtime cost of service sales, partially offset by a $0.4 million increase in content services cost of services sales. As a percentage of service sales, costs of service sales were 64% and 59% for the six months ended June 30, 2025 and 2024, respectively.</w:t>
      </w:r>
    </w:p>
    <w:p>
      <w:pPr>
        <w:spacing w:after="0" w:line="19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For the six months ended June 30, 2025, costs of product sales decreased by $2.6 million, or 27%, to $7.0 million from $9.6 million in the six months ended June 30, 2024, primarily due to a $1.9 million decrease in various manufacturing and other unabsorbed expenses, a $0.5 million decrease in TracVision cost of product sales and a $0.5 million decrease in Starlink cost of product sales, partially offset by a $0.3 million increase in OneWeb cost of product sales. As a percentage of product sales, costs of product sales were 96% and 117% for the six months ended June 30, 2025 and 2024, respectively. Cost of product sales decreased as a percentage of product sales primarily due to the decrease in various manufacturing and other unabsorbed expense.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Research and development expense for the six months ended June 30, 2025 decreased by $3.3 million, or 61%, to $2.1 million from $5.4 million for the six months ended June 30, 2024. The decrease in research and development expense resulted primarily from a $2.8 million decrease in salaries, benefits and taxes, after giving effect to $1.1 million in costs incurred during the six months ended June 30, 2024 related to the reduction in our workforce. As a percentage of net sales, research and development expense was 4% and 9% for the six months ended June 30, 2025 and 2024, respectively.</w:t>
      </w:r>
    </w:p>
    <w:p>
      <w:pPr>
        <w:spacing w:after="0" w:line="19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Sales, marketing and support expense for the six months ended June 30, 2025 decreased by $0.7 million, or 7%, to $10.0 million from $10.7 million for the six months ended June 30, 2024. The decrease in sales, marketing and support expense resulted primarily from a $0.7 million decrease in salaries, benefits and taxes, after giving effect to $0.4 million in costs incurred during the six months ended June 30, 2024 related to the reduction in our workforce. In addition, there was a $0.3 million decrease in facilities expense and a $0.3 million decrease in expensed materials, partially offset by a $0.3 million increase in warranty expense. As a percentage of net sales, sales, marketing and support expense was 19% for both the six months ended June 30, 2025 and 2024.</w:t>
      </w:r>
    </w:p>
    <w:p>
      <w:pPr>
        <w:spacing w:after="0" w:line="1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General and administrative expense for the six months ended June 30, 2025 decreased by $2.3 million, or 25%, to $7.1 million from $9.4 million for the six months ended June 30, 2024. The decrease in general and administrative expense resulted primarily from a $2.1 million decrease in salaries, benefits and taxes, after giving effect to $0.9 million in costs incurred during the six months ended June 30, 2024 related to the reduction in our workforce, and a $0.5 million decrease in depreciation expense, partially offset by a $0.6 million increase in facilities expense. As a percentage of net sales, general and administrative expense was 14% and 16% for the six months ended June 30, 2025 and 2024,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(Expense), Net</w:t>
      </w:r>
    </w:p>
    <w:p>
      <w:pPr>
        <w:spacing w:after="0" w:line="228"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Interest income decreased by $0.6 million to $1.1 million for the six months ended June 30, 2025 from $1.8 million for the six months ended June 30, 2024, primarily as a result of lower cash balances in 2025 as a result of the $17.0 million prepayment in June 2024 for access to a large block of Starlink Mobile Priority data at favorable rates. Of the current period interest income of $1.1 million, $0.9 million is attributable to interest earned on cash and cash equivalents, and $0.2 million was attributable to interest from lease receivables. Other income (expense), net changed by $1.4 million to other income, net of $0.8 million for the six months ended June 30, 2025 from other expense, net of $0.6 million for the six months ended June 30, 2024. This change was driven primarily by a $1.3 million gain on the sale of 50 Enterprise Center in June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54"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Income tax expense for the six months ended June 30, 2025 was $0.1 million and primarily related to state taxes and withholding taxes imposed in foreign jurisdictions. Income tax expense for the six months ended June 30, 2024 was $0.1 million and related to taxes on income earned in foreign jurisdictions.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Our primary liquidity needs have been to fund general business requirements, including working capital requirements and capital expenditures. In recent years, we have funded our operations primarily from the sale of two businesses in 2022, the sale of a business in 2019, the sale of 50 Enterprise Center, a PPP loan, cash flows from operations, bank financings and proceeds received from exercises of stock options and the issuance of stock.</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August 9, 2022, we sold our inertial navigation business to EMCORE Corporation for net proceeds of $54.9 million, less specified deductions.</w:t>
      </w:r>
    </w:p>
    <w:p>
      <w:pPr>
        <w:spacing w:after="0" w:line="25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As of June 30, 2025, we had $55.9 million in cash and cash equivalents, of which $3.0 million in cash and cash equivalents was held in local currencies by our foreign subsidiaries. We held no marketable securities as of June 30, 2025 as all excess cash has been invested in an interest-bearing account with Bank of America, N.A. since the fourth quarter of 2024. As of June 30, 2025, we had $109.9 million in working capital.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30" w:name="page31"/>
    <w:bookmarkEnd w:id="30"/>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203"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Net cash generated in operations was $3.8 million for the six months ended June 30, 2025 compared to net cash used in operations of $15.5 million for the six months ended June 30, 2024. The $19.3 million change in net cash provided by operations was primarily the result of an $17.3 million decrease in cash outflows related to prepaid expenses and current assets, which included the $17.0 million purchase of the Starlink data pool, a $6.4 million decrease in cash outflows relating to inventories, a $4.8 million decrease in net loss, a $2.4 million decrease in cash outflows relating to accrued compensation, product warranty and other expenses, and a $0.5 million increase in cash inflows relating to deferred revenue, partially offset by a $5.9 million increase in cash outflows related to accounts payable, a change of $3.8 million related to non-cash items, a $2.0 million decrease in cash inflows relating to accounts receivable, and a $0.3 million increase in cash outflows relating to other non-current assets.</w:t>
      </w:r>
    </w:p>
    <w:p>
      <w:pPr>
        <w:spacing w:after="0" w:line="20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Net cash provided by investing activities was $2.6 million for the six months ended June 30, 2025 compared to net cash provided by investing activities of $14.4 million for the six months ended June 30, 2024. The $11.8 million decrease in net cash provided by investing activities was primarily the result of a $19.6 million decrease in proceeds from net sales of marketable securities, which was driven by the liquidation of our marketable securities held by Wells Fargo in 2024, partially offset by proceeds of $4.9 million for the sale of 50 Enterprise Center, a $1.6 million decrease in capital expenditures and $1.2 million of proceeds from the sale of fixed assets.</w:t>
      </w:r>
    </w:p>
    <w:p>
      <w:pPr>
        <w:spacing w:after="0" w:line="196" w:lineRule="exact"/>
        <w:rPr>
          <w:sz w:val="20"/>
          <w:szCs w:val="20"/>
          <w:color w:val="auto"/>
        </w:rPr>
      </w:pPr>
    </w:p>
    <w:p>
      <w:pPr>
        <w:jc w:val="both"/>
        <w:ind w:firstLine="472"/>
        <w:spacing w:after="0" w:line="259" w:lineRule="auto"/>
        <w:rPr>
          <w:sz w:val="20"/>
          <w:szCs w:val="20"/>
          <w:color w:val="auto"/>
        </w:rPr>
      </w:pPr>
      <w:r>
        <w:rPr>
          <w:rFonts w:ascii="Times New Roman" w:cs="Times New Roman" w:eastAsia="Times New Roman" w:hAnsi="Times New Roman"/>
          <w:sz w:val="17"/>
          <w:szCs w:val="17"/>
          <w:color w:val="auto"/>
        </w:rPr>
        <w:t>Net cash used in financing activities was $1.2 million for the six months ended June 30, 2025 compared to net cash provided by financing activities of $0.1 million for the six months ended June 30, 2024. The $1.3 million increase in net cash used in financing activities is primarily attributable to a $1.3 million increase in cash outflows related to the purchase of treasury stock and $0.1 million decrease in cash inflows relating to proceeds from the exercise of stock options and purchases under our employee stock purchase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Matters</w:t>
      </w:r>
    </w:p>
    <w:p>
      <w:pPr>
        <w:spacing w:after="0" w:line="254"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On December 9, 2024, our Board of Directors authorized a share repurchase program pursuant in which we may purchase outstanding shares of our common stock for an aggregate purchase price of up to $10 million.</w:t>
      </w:r>
    </w:p>
    <w:p>
      <w:pPr>
        <w:spacing w:after="0" w:line="160" w:lineRule="exact"/>
        <w:rPr>
          <w:sz w:val="20"/>
          <w:szCs w:val="20"/>
          <w:color w:val="auto"/>
        </w:rPr>
      </w:pPr>
    </w:p>
    <w:p>
      <w:pPr>
        <w:jc w:val="both"/>
        <w:ind w:firstLine="472"/>
        <w:spacing w:after="0" w:line="245" w:lineRule="auto"/>
        <w:rPr>
          <w:sz w:val="20"/>
          <w:szCs w:val="20"/>
          <w:color w:val="auto"/>
        </w:rPr>
      </w:pPr>
      <w:r>
        <w:rPr>
          <w:rFonts w:ascii="Times New Roman" w:cs="Times New Roman" w:eastAsia="Times New Roman" w:hAnsi="Times New Roman"/>
          <w:sz w:val="17"/>
          <w:szCs w:val="17"/>
          <w:color w:val="auto"/>
        </w:rPr>
        <w:t>Under the program, we, at management’s discretion, may repurchase shares from time to time through various means, including on the open market, in privately negotiated transactions or block transactions, or through an accelerated repurchase agreement. We may elect to make purchases under Rule 10b-18 under the Securities Exchange Act of 1934, as amended, which imposes certain volume limitations, and/or under Rule 10b5-1 under that act, which would permit repurchases to occur during periods when we might otherwise be precluded from making purchases under insider trading laws or our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w:t>
      </w:r>
    </w:p>
    <w:p>
      <w:pPr>
        <w:spacing w:after="0" w:line="21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months ended June 30, 2025, we repurchased 211 shares of common stock in open market transactions at a cost of approximately $1.1 million. During the six months ended June 30, 2025, we repurchased 242 shares of common stock in open market transactions at a cost of approximately $1.3 million. Except as noted above, there were no other repurchase programs outstanding.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1" w:name="page32"/>
    <w:bookmarkEnd w:id="31"/>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or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our management has evaluated the effectiveness of our disclosure controls and procedures as of June 30, 2025, the end of the period covered by this interim report. Based on that evaluation, our Chief Executive Officer and Chief Financial Officer concluded that our disclosure controls and procedures were effective as of June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Changes in Internal Control over Financial Reporting</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our management has evaluated changes in our internal control over financial reporting that occurred during the second quarter of 2025. Based on that evaluation, our Chief Executive Officer and Chief Financial Officer did not identify any change in our internal control over financial reporting during the second quarter of 2025 that has materially affected, or is reasonably likely to materially affect, our internal control over financial reporting.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Considerations</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71" w:lineRule="exact"/>
        <w:rPr>
          <w:sz w:val="20"/>
          <w:szCs w:val="20"/>
          <w:color w:val="auto"/>
        </w:rPr>
      </w:pPr>
    </w:p>
    <w:p>
      <w:pPr>
        <w:jc w:val="both"/>
        <w:ind w:firstLine="472"/>
        <w:spacing w:after="0" w:line="278" w:lineRule="auto"/>
        <w:rPr>
          <w:sz w:val="20"/>
          <w:szCs w:val="20"/>
          <w:color w:val="auto"/>
        </w:rPr>
      </w:pPr>
      <w:r>
        <w:rPr>
          <w:rFonts w:ascii="Times New Roman" w:cs="Times New Roman" w:eastAsia="Times New Roman" w:hAnsi="Times New Roman"/>
          <w:sz w:val="17"/>
          <w:szCs w:val="17"/>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financial performance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have a history of losses, and achieving sustained profitability may take longer than we anticipate or may not be achievable.</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recorded losses in the first six months of 2025 and in each of the last five fiscal years (notwithstanding the income we recognized in 2025 from the sale of 50 Enterprise Center, in 2022 from the sale of the inertial navigation business and in 2021 from the forgiveness of a PPP loan). Although our business was profitable in the fourth quarter of 2022 and second quarter of 2023, we may continue to incur losses as we face increasingly stiff competition. Our recent restructuring, workforce reductions and other cost-reduction measures may be insufficient to offset reductions in our revenues. Recent inflation in the prices of goods and services, including wages, has also hampered our ability to improve profitability. In order to maintain and improve our competitive position, generate revenue and achieve sustained profitability, we must continue to grow our airtime subscriber base, reduce our bandwidth and other costs, and continue to introduce new and improved solutions. Our inability to accomplish any of these goals could have a material adverse effect on our revenues, profitability and cash flow, and we cannot provide assurances as to when, or whether, we will achieve sustained profitability.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losses may increase if we are unable to effectively adapt to changes in our business and industry.</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traditional geosynchronous satellite communications industry is experiencing significant disruption arising from customers’ rapid transition to less expensive LEO services, including Starlink, as well as increased reliance on other forms of data transmission, including Wi-Fi and cellular data services. Like others in our industry, we are experiencing reduced demand for our traditional satellite communications services and products, which we expect will continue. Although we are adapting to this transition by becoming an authorized reseller of Starlink, OneWeb, and cellular data services and related products, there can be no assurance that we will generate the same level of revenue or gross margin from these sources that we derived from sales of VSAT airtime and related products. Moreover, our VSAT services require a separate infrastructure, which generates certain costs that are relatively fixed for a period of time. As customers transition away from VSAT services, our remaining VSAT services become less profitable and may eventually become insufficiently profitable to continue. If we are unable to efficiently operate both VSAT and LEO services and cost-effectively manage the ongoing transition to the latter, the expenses we incur may exceed associated revenues and thereby increase our losses.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Fluctuations in our quarterly net sales and results of operations could depress the market price of our common stock.</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quarterly net sales and results of operations could continue to vary significantly for various reasons, many of which are outside our control. For example, service sales declined 6.6% in the second quarter of 2025 compared to the second quarter of 2024, and product sales decreased 10.6% in the second quarter of 2025 compared to the second quarter of 2024. You should not rely on quarter-to-quarter comparisons of our results of operations as an indication of future performance. Our net sales or results of operations in a quarter may fall below the expectations of securities analysts or investors. If this occurs, the market price of our common stock could fall significantly. Our results of operations can fluctuate for many reasons, including the impact of competition and resulting changes in demand for our products and services; delays in order fulfillment, including as a result of shortages of components and raw materials; the mix of services and products we sell, including the mix of fixed rate and metered contracts for airtime services; our ability to manufacture, test and deliver products in a timely and cost-effective manner; the timing of new service and product introductions by us or our competitors; the scope and success of our investments in research and development; expenses incurred in pursuing acquisitions and investments; expenses incurred in expanding, maintaining, or improving our global HTS network; market and competitive pricing pressures; unanticipated charges or expenses, such as the aggregate $6.0 million impairment charges to goodwill and long-lived assets we recorded in the third quarter of 2023; the $1.1 million impairment charges to long-lived assets we recorded in the third quarter of 2024; the $5.2 million charge related to an inventory write-down, the $3.6 million provision for excess purchase order obligations and the $2.1 million charge for the discontinuation of a project for implementing a new manufacturing-centric accounting system that we recorded in the fourth quarter of 2023; expenses incurred in responding to stockholder activism; general economic climate; seasonality of pleasure boat and recreational vehicle usage; and the impact of supply chain disruptions.</w:t>
      </w:r>
    </w:p>
    <w:p>
      <w:pPr>
        <w:spacing w:after="0" w:line="200" w:lineRule="exact"/>
        <w:rPr>
          <w:sz w:val="20"/>
          <w:szCs w:val="20"/>
          <w:color w:val="auto"/>
        </w:rPr>
      </w:pPr>
    </w:p>
    <w:p>
      <w:pPr>
        <w:spacing w:after="0" w:line="21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 large portion of our expenses, including expenses for network infrastructure, facilities, equipment, and personnel, are relatively fixed. If our net sales continue to decline, our operating margins will also likely decline. Any failure to achieve anticipated net sales could therefore significantly harm our operating results.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material increase in sales of third-party airtime services and products could reduce our gross margins and our profitability.</w:t>
      </w:r>
    </w:p>
    <w:p>
      <w:pPr>
        <w:spacing w:after="0" w:line="25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gross margin percentage from our VSAT airtime services in some cases exceeds the gross margin percentage from other third-party products and airtime services. To the extent that the mix of airtime services we sell shifts away from VSAT services, our gross profit dollars may decline, perhaps materially, if we are unable to significantly increase revenue on non-VSAT airtime services, which will reduce our profitability.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planned transition to reliance on third-party hardware products may be unsuccessful.</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February 2024, we announced a staged wind-down of our product manufacturing operations, which was driven by reduced demand for our hardware products in the face of intensifying competition. We plan to discontinue our capital-intensive manufacturing activities by the end of 2026 and concentrate instead on growing sales of our multi-orbit, multi-channel, integrated communications solutions, including a transition to rely increasingly, and eventually exclusively, on third-party hardware compatible with our solutions. This multi-year strategy entails significant risks, including the loss of competitive differentiation as a leading manufacturer of award-winning products, the potentially irreversible loss of manufacturing expertise and know-how, increased dependence on third-party manufacturers and suppliers, the loss of control over technological innovations and improvements, significantly lower profit margins on third-party product resales, potential technological incompatibility with third-party hardware, potential additional significant provisions for excess and obsolete inventory and other charges, unanticipated expenses, and increased competition for service customers from product manufacturers. If we were to experience a resurgence in demand for our products, we may be unable to restart internal production or to engage a third party to reliably manufacture and deliver them on time and at an affordable cost. Accordingly, this strategic transition entails meaningful execution risk, particularly in light of our reductions-in-force in 2024 and the resulting loss of experienced employees. The failure to implement a successful transition to a new business model based upon third-party hardware would have a material adverse effect on our business, revenues and results of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Our future success will depend in part on the services of our executive officers and key employees.</w:t>
      </w:r>
    </w:p>
    <w:p>
      <w:pPr>
        <w:spacing w:after="0" w:line="2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future success depends to a significant degree on the skills and efforts of our executive officers and key employees. Most of our executive officers and key employees are at-will employees. Competition for senior management is intense, and they could terminate their employment with us at any time. We do not maintain key-person life insurance on any of our personnel. Accordingly, the loss of one or more of our executive officers or key employees could have a material adverse effect on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cannot effectively manage changes in our business and continue to attract and retain skilled personnel, our business may suffer.</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we cannot adjust expenses in response to changes in our operations, our results of operations may be harmed. For example, the relatively fixed costs associated with our manufacturing operations sometimes prevent us from reducing those costs quickly in response to reductions in demand, resulting in negative product margins. To manage changes in our business effectively, we must, among other things, successfully complete the wind-down of our manufacturing operations, including correctly estimating the number of units to produce; secure appropriate satellite capacity to match demand for airtime services; manage our inventory effectively, particularly in light of the substantial provision for excess and obsolete inventory that we recorded in the fourth quarter of 2023; effectively manage our working capital; ensure robust cybersecurity protection of KVH and customer data and systems; and ensure that our procedures and internal controls are revised and updated to remain effective for our smaller workforce and the reduced size and scale of our business operations.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are highly dependent on qualified personnel at all levels, including our senior management team and other key technical, operational, managerial and sales and marketing personnel, each of whom would be difficult to replace. Our reductions-in-force in 2024 increased our dependence on continuing personnel. If we fail to retain and attract the necessary personnel, we may be unable to achieve our business objectives and may lose our competitive position, which could lead to a significant decline in net sales. The current job market for personnel is very competitive, resulting in increased compensation. We face challenges retaining our personnel and attracting new personnel to fulfill our unmet needs, particularly in light of our recent reductions-in-force. Replacing key personnel may be difficult and may take an extended period of time because of the limited number of individuals with the skills and experience to execute our business strategy. We may be unable to identify or employ qualified personnel for any such position on acceptable terms, if at all. We may also need to pay higher compensation than we expect, which would make it more difficult to achieve our goal of sustained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Future strategic activities could disrupt our business and affect our results of operations.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response to increasing competitive pressure, we may take additional measures intended to increase profitability and align our business more closely with our current strategic and financial objectives, including engagement with new suppliers, further modifications to our manufacturing arrangements and other cost-reduction efforts. For example, in February 2024 we announced a staged wind-down of our manufacturing operations and a related reduction-in-force of 75 employees, as a result of which we have incurred aggregate charges of approximately $14.8 million, consisting of a $5.2 million non-cash charge related to an inventory write-down, a $3.6 million provision for excess purchase order obligations, approximately $3.9 million of severance charges, and a $2.1 million charge for the discontinuation of a project for implementing a new manufacturing-centric accounting system. We may also choose to dispose of assets or make strategic divestitures, such as the sale of our inertial navigation business in August 2022. During the third quarter of 2024, we commenced plans to sell the warehouse building and surface parking lot located at 75 Enterprise Center in Middletown, Rhode Island. In the second quarter of 2025, we completed the sale of the property, building, improvements, and land located at 50 Enterprise Center in Middletown, Rhode Island. These efforts may not succeed in improving profitability. Any of these changes could be disruptive to our business and could result in significant expense, including losses on any asset disposition or divestiture, accounting charges for any inventory or technology-related write-offs or any workforce reduction costs, such as those described elsewhere in risk factors. We could incur significant transaction costs, including for potential transactions that do not proceed. Substantial expense or charges resulting from restructuring activities, dispositions of assets or divestitures could adversely affect our results of operations and use of cash in the periods in which we take these actions. Any disposition of assets or divestiture could also result in the retention of liabilities and expenses that are not assumed by the buyer or the loss of operating income from the divested assets or operations, either of which could negatively impact profitability after any divestiture.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We must generate a certain level of service sales in order to maintain or improve our service gross margins.</w:t>
      </w:r>
    </w:p>
    <w:p>
      <w:pPr>
        <w:spacing w:after="0" w:line="2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result of our global satellite network infrastructure, we incur certain costs that generally do not vary directly in proportion to the volume of service sales, and we have limited ability to reduce these fixed costs. If service sales, including through our AgilePlans subscription model, continue to decline, our service gross margins will also continue to decline. The failure to improve our global HTS service gross margins and unit sales would have a material adverse effect on our overall profitability.</w:t>
      </w:r>
    </w:p>
    <w:p>
      <w:pPr>
        <w:spacing w:after="0" w:line="1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second quarter of 2024, we prepaid $17.0 million for access to a large block of Starlink Mobile Priority data at favorable rates. If the volume of services sales is not significant enough to consume this pooled data within the applicable period, our gross margins will suffer. While we currently expect to consume all of this pooled data within the contract period, if at any time we were to determine that it is more likely than not that we would not consume a portion of the pooled data, we may expense the applicable portion at the time of each such determination.</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color w:val="auto"/>
        </w:rPr>
        <w:t>Our ability to compete in the maritime airtime services market will be impaired if we are unable to provide sufficient service capacity to meet customer demand.</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currently offer our global HTS VSAT service in the Americas, Europe, the Middle East, Africa, Asia-Pacific, Indian, and Australian and New Zealand waters. We may need to expand capacity in existing coverage areas to support our subscriber base. If we are unable to reach economical agreements with third-party satellite providers to support our global satellite services and its technology or if transponder capacity is unavailable to meet growing demand in a given region, our ability to provide airtime services will be at risk and could reduce the attractiveness of our products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results of operations are adversely affected by unseasonably cold weather, prolonged winter conditions, disasters or similar events.</w:t>
      </w:r>
    </w:p>
    <w:p>
      <w:pPr>
        <w:spacing w:after="0" w:line="2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leisure marine business is highly seasonal, and seasonality can also impact our commercial marine business. Historically, we have generated the majority of our leisure marine product revenues during the first and second quarters of each year, and these revenues typically decline in the third and fourth quarters of each year, compared to the first two quarters. Temporary suspensions of our airtime services typically increase in the fourth and first quarters of each year as boats are placed out of service during winter months. Our leisure marine business is also significantly affected by the weather. Unseasonably cool weather, prolonged winter conditions, hurricanes, unusual amounts of rain, and natural and other disasters may decrease boating, which could reduce our revenues. Specifically, we may encounter a decrease in new airtime activations as well as an increase in the number of cancellations or temporary suspensions of our airtime service.</w:t>
      </w:r>
    </w:p>
    <w:p>
      <w:pPr>
        <w:spacing w:after="0" w:line="200" w:lineRule="exact"/>
        <w:rPr>
          <w:sz w:val="20"/>
          <w:szCs w:val="20"/>
          <w:color w:val="auto"/>
        </w:rPr>
      </w:pPr>
    </w:p>
    <w:p>
      <w:pPr>
        <w:spacing w:after="0" w:line="21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We are winding down our single manufacturing facility, and any significant disruption to this facility in the near term will impair our ability to deliver our products.</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manufacture all of our products at our manufacturing facility in Middletown, Rhode Island, and we have begun to wind down our manufacturing operations at that facility. We currently plan to discontinue the majority of our capital-intensive manufacturing activities by the end of 2026. Some of our production processes are complex, and we may be unable to respond rapidly to the loss of the use of our production facility. For example, we use some specialized equipment that may take time to replace if it is damaged or becomes unusable for any reason. In that event, shipments would be delayed, which could result in customer or dealer dissatisfaction, loss of sales and damage to our reputation. In light of the wind-down, we may elect to halt production rather than to incur significant expenses to repair or replace manufacturing equipment, which may limit our production and accelerate the loss of product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Acquisitions and strategic relationships may disrupt our operations or adversely affect our results.</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evaluate opportunities to acquire other businesses and pursue other strategic relationships as they arise. The expenses we incur evaluating and pursuing acquisitions and strategic relationships could have a material adverse effect on our results of operations. If we acquire a business, we may be unable to manage it profitably or successfully integrate its operations with our own. Moreover, we may be unable to realize the strategic, financial, operational and other benefits we anticipate, and any acquisition or strategic relationship may increase our operating expenses. Further, our approach to acquisitions and strategic relationships may involve a number of special financial and business risks, such as entry into new and unfamiliar lines of business or markets, which may present challenges or risks that we did not anticipate; entry into new or unfamiliar geographic regions, including exposure to additional tax and regulatory regimes; increased expenses associated with the amortization of acquired intangible assets; increased exposure to fluctuations in foreign currency exchange rates; charges related to any abandoned acquisition; diversion of our management’s time, attention, and resources; loss of key personnel; increased costs to improve or coordinate managerial, operational, financial, and administrative systems, including internal control over financial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6" w:name="page37"/>
    <w:bookmarkEnd w:id="36"/>
    <w:p>
      <w:pPr>
        <w:jc w:val="both"/>
        <w:spacing w:after="0" w:line="296" w:lineRule="auto"/>
        <w:rPr>
          <w:sz w:val="20"/>
          <w:szCs w:val="20"/>
          <w:color w:val="auto"/>
        </w:rPr>
      </w:pPr>
      <w:r>
        <w:rPr>
          <w:rFonts w:ascii="Times New Roman" w:cs="Times New Roman" w:eastAsia="Times New Roman" w:hAnsi="Times New Roman"/>
          <w:sz w:val="17"/>
          <w:szCs w:val="17"/>
          <w:color w:val="auto"/>
        </w:rPr>
        <w:t>reporting; dilutive issuances of equity securities; the assumption of legal liabilities; and losses arising from impairment charges associated with goodwill or intangible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Increasingly intense competition may limit our ability to sell our products and services.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mobile connectivity market is intensely competitive, and we expect the intensity of competition to continue to increase in the future. We may not be able to compete successfully against current and future competitors, which would impair our ability to sell our products and services. We are facing significant competition from companies that seek to compete primarily on price as well as new, emerging LEO services, such as Starlink and OneWeb, as well as future LEO services such as Kuiper, Telesat, and others. Competition from these sources increased dramatically in 2023 and 2024 and continues in 2025, leading to material reductions in our VSAT subscriber base. These companies may continue to implement price reductions and discounts for both products and services, which have required us to reduce our prices or offer discounts in an effort to mitigate erosion of our market share. The majority of our customers have no long-term commitment and can switch providers without penalty. For example, AgilePlans customers are on month-to-month agreements. In the third quarter of 2024, we received and processed the anticipated service downgrade request from the U.S. Coast Guard, which reduces anticipated revenue from this customer for 2025 through 2027 by approximately 95%. As a result, we expect to generate substantially less revenue from the U.S. Coast Guard. For example, revenue from the U.S. Coast Guard declined from approximately $2.4 million in the third quarter of 2024 to approximately $0.1 million in the second quarter of 2025.</w:t>
      </w:r>
    </w:p>
    <w:p>
      <w:pPr>
        <w:spacing w:after="0" w:line="20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Many competitors have greater financial resources than we do, enabling them to operate at lower margins to gain market share. We believe increased competition contributed to the decreases in both our service sales and our product sales in the six months ended June 30, 2025, including unit sales of our VSAT products, and this trend may continue in future periods.</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Some of the companies that we depend on to supply us with capacity on satellite communications networks may vertically integrate by introducing their own products and services to compete with ours, which might motivate them to stop providing satellite network capacity to us, or to make it available on less favorable terms.</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Although KVH is a tier 1 reseller of Starlink terminals and services, we continue to face competitive challenges both from Starlink direct sales as well as from an expanding network of other Starlink resellers. A significant number of leisure customers have adopted Starlink systems for both two-way communications as well as streaming, which has impacted both our VSAT Broadband and TracVision satellite TV businesses. Although our leisure business accounts for less than 15% of our total revenue, competition from Starlink from various sources has had some adverse impact on our commercial business as well, particularly our growth in that segment and our overall VSAT subscriber base. While we did increase our subscriber count in the first and second quarters of 2025 and the second, third and fourth quarters of 2024, spurred by an increase in subscribers for Starlink service provided by KVH, the total number of our subscribers declined in the third and fourth quarter of 2023 and the first quarter of 2024. If we are unable to sustain growth, it would have a material adverse effect on our revenue, profitability, and cash flow.</w:t>
      </w:r>
    </w:p>
    <w:p>
      <w:pPr>
        <w:spacing w:after="0" w:line="200" w:lineRule="exact"/>
        <w:rPr>
          <w:sz w:val="20"/>
          <w:szCs w:val="20"/>
          <w:color w:val="auto"/>
        </w:rPr>
      </w:pP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the marine market for high-speed Internet, voice, and data services, we have historically competed primarily with Marlink, Speedcast, Viasat/Inmarsat, and Network Innovations, along with smaller, single-hub regional services to deliver VSAT service. Additionally, we are facing meaningful competition from new LEO-focused providers such as SpaceX’s Starlink and an emerging group of smaller providers, such as Clarus, Pivotel and Elcome. We also face competition from providers of low-speed data services, which include Viasat/Inmarsat and Iridium Satellite LLC. In the marine market for satellite TV equipment, we compete primarily with Intellian, Cobham satcom and Raymarine (Intellian-made). In the marine market for two-way communications equipment, we compete primarily with Intellian and Cobham satcom. In the markets for media content, the KVH Media Group competes primarily with Swank Motion Pictures, Baze Technology, and PressReader. Some of our competitors are well-established companies that have substantially greater financial, managerial, technical, marketing, personnel, and other resources than we do, which may help them to compete more effectively against us.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We depend on sole or limited source suppliers, and any disruption in supply could impair our ability to deliver products on time or at expected cost.</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obtain many products and key components for our products, including Starlink terminals, from third-party suppliers, and in some cases we use a single or a limited number of suppliers. Any interruption in supply could impair our ability to deliver the products we sell until we identify and qualify a new source of supply, which could take several weeks, months or longer and could increase our costs significantly. For example, the global chip shortage and supply chain constraints resulting from the COVID-19 pandemic adversely impacted our ability to deliver products in a timely manner and increased our cost of sales due to rising prices for materials. We may not be able to pass along any of these cost increases to our customers, and customers may not wait for products to become available. These disruptions in our supply chain could worsen, which could delay delivery of products and services and adversely affect our revenue and results of operations. Suppliers might change or discontinue products or key components, which could require us to modify our product designs or cease production or sales. In general, we do not have written long-term supply agreements with our suppliers but instead buy products and components through purchase orders, which expose us to potential price increases and termination of supply without notice or recourse. We generally do not carry significant inventories of products or components, which could magnify the impact of the loss of a supplier. If we must use a new source of supply, we could face unexpected manufacturing difficulties and loss of product performance or reliability. In addition, lead times for certain products or components can increase significantly due to imbalances in overall market supply and demand. This, in turn, could limit our ability to satisfy demand for the products we sell and could result in the cancellation of customer orders.</w:t>
      </w:r>
    </w:p>
    <w:p>
      <w:pPr>
        <w:spacing w:after="0" w:line="200" w:lineRule="exact"/>
        <w:rPr>
          <w:sz w:val="20"/>
          <w:szCs w:val="20"/>
          <w:color w:val="auto"/>
        </w:rPr>
      </w:pPr>
    </w:p>
    <w:p>
      <w:pPr>
        <w:spacing w:after="0" w:line="21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Changes in the competitive environment, customer demand, supply chain issues, and the transition to new products may require inventory write-downs and/or the disposal of AgilePlans revenue-generating fixed assets.</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From time to time, we have recorded significant inventory charges and/or inventory write-offs as a result of substantial declines in customer demand. For example, in 2023, we recorded a $5.2 million inventory write-down charge and a $3.6 million charge for excess purchase order obligations, both relating to the reduced demand for our hardware products, which led to the staged wind-down of our manufacturing activities at our facility in Middletown, Rhode Island that we began in 2024. We have also recorded significant losses on the disposal of AgilePlans revenue-generating fixed assets due to the decline in customer demand of VSAT Broadband AgilePlans units. For example, in 2024 we recorded a non-cash $0.9 million loss related to the disposal of AgilePlans revenue-generating fixed assets in which no proceeds were received. Market or competitive changes, such as a continuation of the decline in demand for our hardware products that we experienced in 2023 and 2024, could lead to future charges for excess or obsolete inventory or losses on fixed assets, especially if we are unable to appropriately adjust the supply of material from our vendors, as we were unable to do in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dependence on third parties and third-party technology</w:t>
      </w:r>
    </w:p>
    <w:p>
      <w:pPr>
        <w:spacing w:after="0" w:line="25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Our mobile satellite communications solutions currently depend on third-party satellite services, gateway teleports and terrestrial networks provided by third parties, and a disruption in those services could adversely affect sales.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communications solutions utilize third-party satellite services and other communication networks. We do not own the satellites that provide two-way satellite communications, the terrestrial networks that interconnect our facilities with the satellite teleports that communicate with the satellites, or any other communication network. Intelsat (acquired by SES in July 2025) and SKY Perfect JSAT currently provide the satellite capacity to support our global high-throughput satellite (HTS) broadband service, our TracNet H-series and TracPhone V-HTS series products and third-party products compatible with our services. Vodafone currently provides the 5G/LTE services used by our TracNet H-series terminals and compatible third-party products to provide cellular service in 150+ countries. For our TracNet Coastal products launched in December 2024, we purchase 5G/LTE cellular data from T-Mobile for service in the U.S. and Vodaphone for service globally. Additionally, we purchase cellular data from Flexiroam, a Mobile Virtual Network Operator (MVNO) with connectivity in over 200 countries. Starlink provides the data services for Starlink LEO services, while Eutelsat OneWeb provides the data connectivity for OneWeb LEO service, which we began providing for maritime use in the January 2025. We rely on Viasat/Inmarsat for satellite communications services for our FleetBroadband-compatible and FleetOne-compatible products. We also have an arrangement with Iridium for additional satellite communications services that we make available to our customers as a backup option to provide communications redundancy with our primary service offerings.</w:t>
      </w: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we have agreements with various teleports and Internet service providers around the globe to support our global HTS broadband service. The terrestrial fiber links that we use to connect with the Internet and to move our VoIP and data services between our facilities and the various satellite earth stations that support our services are provided to us through numerous service providers, some of which have contractual relationships with our satellite service providers and not directly with us.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8" w:name="page39"/>
    <w:bookmarkEnd w:id="38"/>
    <w:p>
      <w:pPr>
        <w:jc w:val="both"/>
        <w:spacing w:after="0" w:line="276" w:lineRule="auto"/>
        <w:rPr>
          <w:sz w:val="20"/>
          <w:szCs w:val="20"/>
          <w:color w:val="auto"/>
        </w:rPr>
      </w:pPr>
      <w:r>
        <w:rPr>
          <w:rFonts w:ascii="Times New Roman" w:cs="Times New Roman" w:eastAsia="Times New Roman" w:hAnsi="Times New Roman"/>
          <w:sz w:val="17"/>
          <w:szCs w:val="17"/>
          <w:color w:val="auto"/>
        </w:rPr>
        <w:t>We currently offer satellite television solutions compatible with the DIRECTV and DISH Network services in the United States, the Bell TV service in Canada, the Sky Mexico service in Mexico, the Sky UK service in the United Kingdom, Canal+ service in France and Movistar service in Spain, and other regional satellite TV services in other parts of the world.</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exercise little or no control over these third-party providers of satellite, teleport, and terrestrial network services, which increases our vulnerability to problems with the services and coverage they provide. Due to our reliance on these service providers, when problems occur, it may be difficult to identify the source of the problem. Service disruption or outages, regardless of whether they are caused by our service, the equipment or services of our third-party service providers, or our customers’ or their equipment and systems, may result in loss of market acceptance of our service, and any necessary repairs or other remedial actions may cause us to incur significant costs and expenses. Any failure on the part of third-party service providers to achieve or maintain expected performance levels, stability, security, or adequate data service coverage in key regions could harm our relationships with our customers, result in claims for credits or damages, damage our reputation, significantly reduce customer demand for our solution and seriously harm our financial condition and operating results.</w:t>
      </w:r>
    </w:p>
    <w:p>
      <w:pPr>
        <w:spacing w:after="0" w:line="200" w:lineRule="exact"/>
        <w:rPr>
          <w:sz w:val="20"/>
          <w:szCs w:val="20"/>
          <w:color w:val="auto"/>
        </w:rPr>
      </w:pP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customers become dissatisfied with the pricing, service, availability, programming or other aspects of any of these satellite services, or if any one or more of these services becomes unavailable for any reason, we could suffer a substantial decline in sales of the satellite services or products we offer. There may be no alternative satellite service provider available to us in a particular geographic area, and the modem or other technology our customers use may not be compatible with the technology of any alternative service provider that may be available. Even if available, delays caused by switching our systems to another service provider, if available, and qualifying this new service provider could materially harm our customer relationships, business, financial condition, and operating results. In addition, the unexpected failure of a satellite could disrupt the availability of programming and services, which could reduce the demand for, or customer satisfaction with, the services or products we offer.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depend on cloud-based data services operated by third parties, and any disruption in the operation of these services could harm our business.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Some of our content services and business records are hosted by various cloud-based data services operated by third parties. Any failure or downtime in one of these services could affect a significant percentage of our customers. Although we control and have access to our servers and the components of our network that are located in our internal facilities and certain of our external data facilities, we do not control the operation of external facilities. The providers of our data management services have no obligation to renew their agreements with us on commercially reasonable terms, or at all. If we are unable to renew these agreements on commercially reasonable terms, or if one or more of our data management service providers is acquired, closes, suffers financial difficulty or is unable to meet our growing capacity needs, we may be required to transfer our data to other services, and we may incur significant costs and service interruptions in connection with doing so, which could harm our reputation with our customers and adversely affect our revenues and results of operations.</w:t>
      </w:r>
    </w:p>
    <w:p>
      <w:pPr>
        <w:spacing w:after="0" w:line="20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Our media and entertainment business relies on licensing arrangements with content providers, and the loss of, or changes in, those arrangements could adversely affect our business.</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distribute premium movies, television programming, news, and music to commercial customers in the maritime market. We license this content from third parties on a non-exclusive basis without long-term license agreements. Any content provider could terminate our arrangements without notice or could adversely modify the terms of the arrangement, including price increases. Further, the licenses we obtain are limited in scope, and any violation of the terms of a license could expose us to liability for copyright infringement. We pay license fees based in part on the revenue we generate from sublicenses, and our licensors generally have the right to audit our records. Failure to pay required license fees could result in termination of our license rights, penalties and damages. The loss of content could adversely affect the attractiveness of our media and entertainment offerings, which could in turn adversely affect our revenues. Any increase in the cost of content could reduce the profitability of these offerings.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39" w:name="page40"/>
    <w:bookmarkEnd w:id="39"/>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Cybersecurity breaches could disrupt our operations, expose us to liability, damage our reputation, and require us to incur significant costs or otherwise adversely affect our financial results.</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highly dependent on information technology networks and systems, including the Internet and third-party systems, to securely process, transmit and store electronic information, including personal information of our customers. We also retain sensitive data, including intellectual property, proprietary business information, personally identifiable information, credit card information, and usage data of our employees and customers on our computer networks and those of third parties. Although we take certain protective measures and endeavor to modify them as we believe circumstances warrant, invasive technologies and techniques continue to evolve rapidly, and increasingly sophisticated hacking organizations are targeting business systems. As a result, the computer systems, software and networks that we use are vulnerable to disruption, shutdown, unauthorized access, misuse, erasure, alteration, employee error, phishing, computer viruses, ransomware or other malicious code, and other events that could have a material security impact. The protective measures on which we rely may be inadequate to prevent or detect all material cybersecurity breaches or determine the extent of any material breach, and there can be no assurance that material undetected breaches have not already occurred. If any material cybersecurity event were to occur, it could disrupt our operations, distract our management, cause us to lose existing customers and fail to attract new customers, as well as subject us to regulatory actions, litigation, fines, damage to our reputation or competitive position, or orders or decrees requiring us to modify our business practices, any of which could have a material adverse effect on our financial position, results of operations or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economic conditions and trade relations</w:t>
      </w:r>
    </w:p>
    <w:p>
      <w:pPr>
        <w:spacing w:after="0" w:line="25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Our revenues, results of operations and financial condition may be adversely impacted by economic turmoil, war, political instability, declines in consumer and enterprise spending.</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Economic and political conditions in the geographic markets we serve have experienced significant turmoil over the last several years, including recent changes in U.S. geopolitical priorities, a potential global recession, slow economic activity, war and refugee crises in the Middle East and Europe, tight credit markets, inflation and deflation concerns, increased interest rates, low consumer confidence, limited capital spending, adverse business conditions, terrorist attacks, changes in government priorities, trade wars, anti-globalization movements, efforts to combat climate change, restrictions on commercial fishing, a government shutdown, gridlock from a divided Congress, and liquidity concerns. These factors vary in intensity by region. For example, the war in the Middle East has resulted in periodic disruptions to global shipping, which could intensify and result in significant delays in shipments of products or supplies, materially increased shipping costs and loss of revenues. Further, recent tax reform legislation is predicted to substantially increase borrowing by the federal government, which could lead to both increased interest rates and increased inflation. We cannot predict the timing, duration, or ultimate impact of turmoil on our markets or our suppliers. We expect our business would be adversely impacted by any significant turmoil, to varying degrees and for varying amounts of time, in all our geographic markets.</w:t>
      </w:r>
    </w:p>
    <w:p>
      <w:pPr>
        <w:spacing w:after="0" w:line="200" w:lineRule="exact"/>
        <w:rPr>
          <w:sz w:val="20"/>
          <w:szCs w:val="20"/>
          <w:color w:val="auto"/>
        </w:rPr>
      </w:pPr>
    </w:p>
    <w:p>
      <w:pPr>
        <w:spacing w:after="0" w:line="216"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Changes in U.S. trade policy, including the threat and imposition of significant tariffs and resulting changes in international trade relations, may have a material adverse effect on us.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new presidential administration has introduced dramatic changes to the United States’ approach to international trade, which is disrupting existing bilateral and multi-lateral trade agreements and treaties with other countries. The U.S. has imposed, suspended, reinstated, reduced, increased or otherwise modified significant tariffs on a wide range of foreign goods and may continue to do so. Certain foreign governments have retaliated and may continue to do so. We derive a majority of our revenues from international sales, which makes us especially vulnerable to increased tariffs. Unpredictable and shifting priorities in U.S. trade policy are generating significant turmoil in international trade relations, and it is unclear what actions governments will or will not take with respect to tariffs or other international trade agreements and policies. For example, President Trump recently imposed tariffs ranging from 10% to 145% on an array of imports from Canada, Mexico, China and other countries. In response, these countries have imposed or are considering imposing retaliatory tariffs on U.S. exports and other restrictions on trade with the U.S. It is unclear what further action the presidential administration will take with respect to tariffs, but future tariff rates may be substantially higher than historical averages. Ongoing or new trade wars or other governmental action related to tariffs or international trade agreements or policies could substantially reduce demand for our services and products, increase our costs, reduce our profitability, adversely impact our supply chain or otherwise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Changes in foreign currency exchange rates may negatively affect our financial condition and results of operations.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face significant exposure to movements in exchange rates for foreign currencies, particularly the pound sterling and the euro. When the U.S. dollar strengthens against certain foreign currencies, this adversely affects revenues reported in U.S. dollars and decreases the reported value of our assets in foreign countries. Conversely, when the U.S. dollar weakens against certain foreign currencies, this positively affects revenues reported in U.S. dollars and increases the reported value of our assets in foreign countries. In the six months ended June 30, 2025, the U.S. dollar weakened significantly against the euro and certain other currencies, which increased the value of revenues generated in those currencies and the costs we pay in those currencies. We also have intragroup receivables and liabilities, such as loans, that can generate significant foreign currency effects. Changes in exchange rates, particularly the U.S. dollar against the pound sterling, could lead to the recognition of unrealized foreign exchange losses.</w:t>
      </w:r>
    </w:p>
    <w:p>
      <w:pPr>
        <w:spacing w:after="0" w:line="2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Certain of our products and services are sold internationally in U.S. dollars; if the U.S. dollar strengthens, the relative cost of these products and services to customers located in foreign countries would increase, which could adversely affect export sales. In addition, most of our financial obligations must be satisfied in U.S. dollars. Our exposures to changes in foreign currency exchange rates may change over time as our business practices evolve and could result in increased costs or reduced revenue and could adversely affect our cash flow. Changes in the relative values of currencies occur regularly and may have a significant impact on our operating results. We cannot predict with any certainty changes in foreign currency exchange rates or the degree to which we can cost-effectively mitigate this exposure.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intellectual property and technological innovation</w:t>
      </w:r>
    </w:p>
    <w:p>
      <w:pPr>
        <w:spacing w:after="0" w:line="25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Our research and development efforts may be unsuccessful. If we are unable to improve our existing solutions and develop new, innovative solutions, our sales and market share will likely continue to decline.</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market for mobile connectivity solutions is characterized by rapid technological change, frequent new product innovations, changes in customer requirements and expectations, and evolving industry standards. For example, we are facing significant competition from new LEO networks such as Starlink and Eutelsat OneWeb. If we fail to make innovations in our existing services and products, reduce the costs of our services and products, or successfully integrate third-party services and products into our portfolio, our market share will likely continue to decline. Services or products using these or other new technologies, or emerging industry standards, could render our services and products obsolete. If our competitors’ new or enhanced services or products either outperform our services or products or offer greater value, or are perceived as doing so, our sales may continue to decline.</w:t>
      </w:r>
    </w:p>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is inherently complex and uncertain, and our current and anticipated research and development projects may not achieve the results we seek. The financial resources that we devote to our research and development efforts have been decreasing significantly. Our efforts may not result in any viable service or product offerings or may result in service or product offerings whose performance, features, price or availability may not be attractive to customers or that we cannot sell profitably.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may suffer if we cannot protect our proprietary technology.</w:t>
      </w:r>
    </w:p>
    <w:p>
      <w:pPr>
        <w:spacing w:after="0" w:line="2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ability to compete depends in part upon our patents, copyrights, source code, and other proprietary technology. The steps we have taken to protect our technology may be inadequate to prevent others from using what we regard as our technology to compete with us. Our patents will eventually expire and could be challenged, invalidated or circumvented. Customers or others with access to our proprietary or licensed media content could copy that content without permission or otherwise violate the terms of our customer agreements, which would adversely affect our revenues and could impair our relationships with content providers. In addition, the laws of some foreign countries do not protect our proprietary technology to the same extent as the laws of the United States, which could increase the likelihood of misappropriation. Any misappropriation of our technology could seriously harm our competitive position, which could lead to a substantial reduction in net sales. If we resort to legal proceedings to enforce our intellectual property rights, the proceedings could be burdensome, disruptive and expensive. The proceedings could distract the attention of management, and we may not prevail.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Claims by others that we infringe their intellectual property rights could harm our business and financial condition.</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Our industry is characterized by the existence of a large number of patents and frequent claims and related litigation regarding patent and other intellectual property rights. We cannot be certain that our products and services do not and will not infringe issued patents, patents that may be issued in the future, or other intellectual property rights of others.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government regulation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international operations complicate our business and require us to comply with multiple regulatory environments.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Historically, sales to customers outside the United States have accounted for an increasingly significant portion of our net sales. We derived 79%, 73% and 68% of our revenues in the six months ended June 30, 2025 and the years ended December 31, 2024 and 2023, respectively, from sales to these foreign customers. We have foreign offices in Denmark, the United Kingdom, Singapore, Japan, Norway and the Philippines, as well as a subsidiary in Brazil that manages local sales. Nonetheless, substantially all of our operations and a significant number of our key personnel are located in the United States. Our limited international operations may impair our ability to compete successfully in international markets and to meet the service and support needs of our customers in countries where we have little to no infrastructure. Risks associated with our international business activities may increase our costs and require significant management attention. These risks include restrictions on international travel, which may restrict our ability to grow and service our business; international shipping delays; tariffs; sanctions or other trade restrictions that preclude or restrict doing business with particular foreign governments, companies or individuals; technical challenges we may face in adapting our solutions to function with different satellite services and technology in use in various regions around the world; satisfaction of international regulatory requirements and delays and costs associated with procurement of any necessary licenses or permits; the potential unavailability of content licenses covering international waters and foreign locations; increased costs of providing customer support in multiple languages; increased costs of managing operations that are international in scope; potentially adverse tax consequences, including restrictions on the repatriation of earnings; protectionist laws and business practices that favor local competitors, which could slow our growth in international markets; potentially longer sales cycles; potentially longer accounts receivable payment cycles and difficulties in collecting accounts receivable; and economic and political instability in some international markets.</w:t>
      </w: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We could incur additional legal compliance costs associated with our international operations and could become subject to legal penalties if we do not comply with certain regulations.</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international operations subject us to a number of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addition, many of the countries where our customers use our services and products have licensing and regulatory requirements for the importation and use of satellite communications and reception equipment, including the use of such equipment in territorial waters, the transmission of satellite signals on certain radio frequencies, the transmission of VoIP services using such equipment and the reception of certain video programming services. These laws and regulations are continually changing, making compliance complex. We incur significant costs identifying and maintaining compliance with applicable licensing and regulatory requirements. Our training and compliance programs and our other internal control policies may be insufficient to protect us from acts committed by our employees, agents or third-party contractors. Any violation of these requirements by us or our employees, agents or third-party contractors may subject us to significant criminal and civil liability. Further, many of our commercial suppliers of satellite transmission capacity impose contractual obligations on us that permit them to suspend or terminate their provision of satellite services to support our network if we fail to maintain compliance with these laws and regulations. The loss of access to satellite capacity would materially and adversely affect our maritime communications service.</w:t>
      </w:r>
    </w:p>
    <w:p>
      <w:pPr>
        <w:spacing w:after="0" w:line="20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We are subject to FCC rules and regulations, and any non-compliance could subject us to FCC enforcement actions, fines, loss of licenses and possibly restrictions on our ability to operate or offer certain of our services.</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satellite communications industry in the United States is regulated by the Federal Communications Commission (FCC), and we are subject to FCC regulations relating to privacy, contributions to the Universal Service Fund, or USF, and other requirements. If we do not comply with FCC regulations, we could face enforcement actions, substantial fines, penalties, loss of licenses and possibly restrictions on our ability to operate or offer services. Any enforcement action by the FCC, which may be a public process, could hurt our reputation, impair our ability to sell our services to customers and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Privacy concerns and domestic or foreign laws and regulations may reduce demand for our services, increase our costs and harm our business.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company and our customers can use our services to collect, use and store personal, confidential and sensitive information regarding the content and manner of usage of our services by them, their employees and maritime crews. Federal, state and foreign governments have adopted and are proposing new and more stringent laws and regulations regarding the collection, use, storage and transfer of information, such as the European Union’s General Data Protection Regulation (“GDPR”). The costs of compliance with, and other burdens imposed by, such laws and regulations may limit the use and adoption of our services and reduce overall demand. Non-compliance with these laws and regulations could lead to significant remediation expenses, fines, penalties or other liabilities, such as orders or consent decrees that require modifications to our privacy practices, as well as reputational damage or third-party lawsuits seeking damages or other relief. For example, the GDPR imposes a strict data protection compliance regime with penalties of up to the greater of 2%-4% of worldwide revenue or €11-22 million.</w:t>
      </w:r>
    </w:p>
    <w:p>
      <w:pPr>
        <w:spacing w:after="0" w:line="200" w:lineRule="exact"/>
        <w:rPr>
          <w:sz w:val="20"/>
          <w:szCs w:val="20"/>
          <w:color w:val="auto"/>
        </w:rPr>
      </w:pP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Domestic and international legislative and regulatory initiatives may harm our ability, and the ability of our customers, to process, handle, store, use and transmit information, which could reduce demand for our services, increase our costs and force us to change our business practices. These laws and regulations are still evolving, are likely to be in flux and may be subject to uncertain interpretation for the foreseeable future. Our business also could be harmed if legislation or regulations are adopted, interpreted or implemented in a manner that is inconsistent from country to country or inconsistent with our current policies and practices or those of our customers.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owning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market price of our common stock may be volatile.</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stock price has historically been volatile. During the period from January 1, 2020 to June 30, 2025, the trading price of our common stock ranged from $4.17 to $15.29. Many factors may cause our stock price to fluctuate, including variations in quarterly results; the introduction of new products and services by us or our competitors; adverse business developments; reductions-in-force; changes in estimates of our performance or recommendations by securities analysts; the hiring or departure of key personnel; acquisitions or strategic alliances involving us or our competitors; market conditions in our industry; and the global macroeconomic and geopolitical environment. Broad market fluctuations may adversely affect our stock price. When the market price of a company’s stock drops significantly, stockholders often institute securities litigation against that company. Any such litigation could cause us to incur significant expenses defending against the claim, divert the time and attention of our management and result in significant damages.</w:t>
      </w: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52" w:lineRule="exact"/>
        <w:rPr>
          <w:sz w:val="20"/>
          <w:szCs w:val="20"/>
          <w:color w:val="auto"/>
        </w:rPr>
      </w:pPr>
    </w:p>
    <w:p>
      <w:pPr>
        <w:jc w:val="both"/>
        <w:ind w:firstLine="472"/>
        <w:spacing w:after="0" w:line="280" w:lineRule="auto"/>
        <w:rPr>
          <w:sz w:val="20"/>
          <w:szCs w:val="20"/>
          <w:color w:val="auto"/>
        </w:rPr>
      </w:pPr>
      <w:r>
        <w:rPr>
          <w:rFonts w:ascii="Times New Roman" w:cs="Times New Roman" w:eastAsia="Times New Roman" w:hAnsi="Times New Roman"/>
          <w:sz w:val="17"/>
          <w:szCs w:val="17"/>
          <w:color w:val="auto"/>
        </w:rPr>
        <w:t>On December 9, 2024, our Board of Directors authorized a share repurchase program pursuant in which we may purchase outstanding shares of our common stock for an aggregate purchase price of up to $10 million.</w:t>
      </w:r>
    </w:p>
    <w:p>
      <w:pPr>
        <w:spacing w:after="0" w:line="173" w:lineRule="exact"/>
        <w:rPr>
          <w:sz w:val="20"/>
          <w:szCs w:val="20"/>
          <w:color w:val="auto"/>
        </w:rPr>
      </w:pPr>
    </w:p>
    <w:p>
      <w:pPr>
        <w:jc w:val="both"/>
        <w:ind w:firstLine="472"/>
        <w:spacing w:after="0" w:line="245" w:lineRule="auto"/>
        <w:rPr>
          <w:sz w:val="20"/>
          <w:szCs w:val="20"/>
          <w:color w:val="auto"/>
        </w:rPr>
      </w:pPr>
      <w:r>
        <w:rPr>
          <w:rFonts w:ascii="Times New Roman" w:cs="Times New Roman" w:eastAsia="Times New Roman" w:hAnsi="Times New Roman"/>
          <w:sz w:val="17"/>
          <w:szCs w:val="17"/>
          <w:color w:val="auto"/>
        </w:rPr>
        <w:t>Under the program, we, at management’s discretion, may repurchase shares from time to time through various means, including on the open market, in privately negotiated transactions or block transactions, or through an accelerated repurchase agreement. We may elect to make purchases under Rule 10b-18 under the Securities Exchange Act of 1934, as amended, which imposes certain volume limitations, and/or under Rule 10b5-1 under that act, which would permit repurchases to occur during periods when we might otherwise be precluded from making purchases under insider trading laws or our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w:t>
      </w:r>
    </w:p>
    <w:p>
      <w:pPr>
        <w:spacing w:after="0" w:line="21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months ended June 30, 2025, we repurchased 211,530 shares of common stock in open market transactions at a cost of approximately $1.1 million. During the six months ended June 30, 2025, we repurchased 242,348 shares of common stock in open market transactions at a cost of approximately $1.3 million. Except as noted above, there were no other repurchase programs outstanding.</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During the three and six months ended June 30, 2025, no vested restricted shares were surrendered to us in satisfaction of tax withholding obligations.</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our repurchase of common stock during the three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 of Shares Purchased</w:t>
            </w:r>
          </w:p>
        </w:tc>
        <w:tc>
          <w:tcPr>
            <w:tcW w:w="160" w:type="dxa"/>
            <w:vAlign w:val="bottom"/>
          </w:tcPr>
          <w:p>
            <w:pPr>
              <w:spacing w:after="0"/>
              <w:rPr>
                <w:sz w:val="13"/>
                <w:szCs w:val="13"/>
                <w:color w:val="auto"/>
              </w:rPr>
            </w:pPr>
          </w:p>
        </w:tc>
        <w:tc>
          <w:tcPr>
            <w:tcW w:w="20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2"/>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Number of Shares Purchased</w:t>
            </w:r>
          </w:p>
        </w:tc>
        <w:tc>
          <w:tcPr>
            <w:tcW w:w="140" w:type="dxa"/>
            <w:vAlign w:val="bottom"/>
          </w:tcPr>
          <w:p>
            <w:pPr>
              <w:spacing w:after="0"/>
              <w:rPr>
                <w:sz w:val="12"/>
                <w:szCs w:val="12"/>
                <w:color w:val="auto"/>
              </w:rPr>
            </w:pPr>
          </w:p>
        </w:tc>
        <w:tc>
          <w:tcPr>
            <w:tcW w:w="20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7"/>
              </w:rPr>
              <w:t>Average Price Paid per Share</w:t>
            </w:r>
            <w:r>
              <w:rPr>
                <w:rFonts w:ascii="Times New Roman" w:cs="Times New Roman" w:eastAsia="Times New Roman" w:hAnsi="Times New Roman"/>
                <w:sz w:val="18"/>
                <w:szCs w:val="18"/>
                <w:b w:val="1"/>
                <w:bCs w:val="1"/>
                <w:color w:val="auto"/>
                <w:w w:val="97"/>
                <w:vertAlign w:val="superscript"/>
              </w:rPr>
              <w:t>(1)</w:t>
            </w:r>
          </w:p>
        </w:tc>
        <w:tc>
          <w:tcPr>
            <w:tcW w:w="2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as Part of Publicly Announced</w:t>
            </w:r>
          </w:p>
        </w:tc>
        <w:tc>
          <w:tcPr>
            <w:tcW w:w="218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Shares that May Yet Be Purchased</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vMerge w:val="continue"/>
          </w:tcPr>
          <w:p>
            <w:pPr>
              <w:spacing w:after="0"/>
              <w:rPr>
                <w:sz w:val="17"/>
                <w:szCs w:val="17"/>
                <w:color w:val="auto"/>
              </w:rPr>
            </w:pPr>
          </w:p>
        </w:tc>
        <w:tc>
          <w:tcPr>
            <w:tcW w:w="21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vMerge w:val="continue"/>
          </w:tcPr>
          <w:p>
            <w:pPr>
              <w:spacing w:after="0"/>
              <w:rPr>
                <w:sz w:val="17"/>
                <w:szCs w:val="17"/>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 April 30</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9,261,476</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1 - May 31</w:t>
            </w:r>
          </w:p>
        </w:tc>
        <w:tc>
          <w:tcPr>
            <w:tcW w:w="2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68,338</w:t>
            </w: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68,338</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8,905,931</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1 - June 30</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30,623</w:t>
            </w:r>
          </w:p>
        </w:tc>
        <w:tc>
          <w:tcPr>
            <w:tcW w:w="14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30,623</w:t>
            </w: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8,743,975</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211,530</w:t>
            </w:r>
          </w:p>
        </w:tc>
        <w:tc>
          <w:tcPr>
            <w:tcW w:w="1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211,530</w:t>
            </w: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(1)</w:t>
        <w:tab/>
        <w:t>Does not include broker commissions.</w:t>
      </w:r>
    </w:p>
    <w:p>
      <w:pPr>
        <w:spacing w:after="0" w:line="200" w:lineRule="exact"/>
        <w:rPr>
          <w:sz w:val="20"/>
          <w:szCs w:val="20"/>
          <w:color w:val="auto"/>
        </w:rPr>
      </w:pP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Filed with</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Incorporated by Reference</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gridSpan w:val="4"/>
            <w:vMerge w:val="continue"/>
          </w:tcPr>
          <w:p>
            <w:pPr>
              <w:spacing w:after="0"/>
              <w:rPr>
                <w:sz w:val="2"/>
                <w:szCs w:val="2"/>
                <w:color w:val="auto"/>
              </w:rPr>
            </w:pPr>
          </w:p>
        </w:tc>
        <w:tc>
          <w:tcPr>
            <w:tcW w:w="478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20" w:type="dxa"/>
            <w:vAlign w:val="bottom"/>
            <w:gridSpan w:val="2"/>
            <w:vMerge w:val="continue"/>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78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this Form 10-Q</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0" w:type="dxa"/>
            <w:vAlign w:val="bottom"/>
          </w:tcPr>
          <w:p>
            <w:pPr>
              <w:spacing w:after="0"/>
              <w:rPr>
                <w:sz w:val="1"/>
                <w:szCs w:val="1"/>
                <w:color w:val="auto"/>
              </w:rPr>
            </w:pPr>
          </w:p>
        </w:tc>
      </w:tr>
      <w:tr>
        <w:trPr>
          <w:trHeight w:val="183"/>
        </w:trPr>
        <w:tc>
          <w:tcPr>
            <w:tcW w:w="860" w:type="dxa"/>
            <w:vAlign w:val="bottom"/>
            <w:tcBorders>
              <w:top w:val="single" w:sz="8" w:color="auto"/>
            </w:tcBorders>
            <w:gridSpan w:val="3"/>
          </w:tcPr>
          <w:p>
            <w:pPr>
              <w:jc w:val="right"/>
              <w:spacing w:after="0" w:line="183" w:lineRule="exact"/>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120" w:type="dxa"/>
            <w:vAlign w:val="bottom"/>
          </w:tcPr>
          <w:p>
            <w:pPr>
              <w:spacing w:after="0"/>
              <w:rPr>
                <w:sz w:val="15"/>
                <w:szCs w:val="15"/>
                <w:color w:val="auto"/>
              </w:rPr>
            </w:pPr>
          </w:p>
        </w:tc>
        <w:tc>
          <w:tcPr>
            <w:tcW w:w="468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Amended and Restated Certificate of Incorporation, as amended</w:t>
            </w: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10-Q</w:t>
            </w:r>
          </w:p>
        </w:tc>
        <w:tc>
          <w:tcPr>
            <w:tcW w:w="100" w:type="dxa"/>
            <w:vAlign w:val="bottom"/>
          </w:tcPr>
          <w:p>
            <w:pPr>
              <w:spacing w:after="0"/>
              <w:rPr>
                <w:sz w:val="15"/>
                <w:szCs w:val="15"/>
                <w:color w:val="auto"/>
              </w:rPr>
            </w:pPr>
          </w:p>
        </w:tc>
        <w:tc>
          <w:tcPr>
            <w:tcW w:w="164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August 6, 2010</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3"/>
          </w:tcPr>
          <w:p>
            <w:pPr>
              <w:jc w:val="right"/>
              <w:spacing w:after="0"/>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12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Certificate of Designations of Series A Junior Participating</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August 19,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478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5"/>
                <w:szCs w:val="15"/>
                <w:color w:val="auto"/>
              </w:rPr>
              <w:t>Cumulative Preferred Stock of KVH Industries, Inc. classifying</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and designating the Series A Junior Participating Cumulative</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Preferred Stock</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60" w:type="dxa"/>
            <w:vAlign w:val="bottom"/>
            <w:gridSpan w:val="3"/>
          </w:tcPr>
          <w:p>
            <w:pPr>
              <w:jc w:val="right"/>
              <w:spacing w:after="0"/>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3</w:t>
              </w:r>
            </w:hyperlink>
          </w:p>
        </w:tc>
        <w:tc>
          <w:tcPr>
            <w:tcW w:w="12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Amended and Restated Bylaws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November 1,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3"/>
          </w:tcPr>
          <w:p>
            <w:pPr>
              <w:jc w:val="right"/>
              <w:spacing w:after="0"/>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12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Specimen certificate for the common stock</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10-K</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12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Rule 13a-14(a)/15d-14(a) certification of principal executive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12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Rule 13a-14(a)/15d-14(a) certification of principal financial</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12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Section 1350 certification of principal executive officer and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following financial information from KVH Industries, Inc.'s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Quarterly Report on Form 10-Q for the quarter ended June 30,</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2025, formatted in Inline XBRL (Extensible Business Reporting</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Language): (i) the Consolidated Balance Sheets (unaudited), (ii)</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the Consolidated Statements of Operations (unaudited), (iii) the</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Consolidated  Statements  of  Comprehensive  Income  (Loss)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(unaudited), (iv) the Consolidated Statements of Stockholders'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Equity (unaudited), (v) the Consolidated Statements of Cash</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Flows (unaudited), and (vi) the Notes to Consolidated Interim</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Financial Statements (unaudited).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XBRL document)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7"/>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ind w:left="4560"/>
              <w:spacing w:after="0"/>
              <w:rPr>
                <w:sz w:val="20"/>
                <w:szCs w:val="20"/>
                <w:color w:val="auto"/>
              </w:rPr>
            </w:pPr>
            <w:r>
              <w:rPr>
                <w:rFonts w:ascii="Times New Roman" w:cs="Times New Roman" w:eastAsia="Times New Roman" w:hAnsi="Times New Roman"/>
                <w:sz w:val="17"/>
                <w:szCs w:val="17"/>
                <w:color w:val="auto"/>
              </w:rPr>
              <w:t>44</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4" w:name="page45"/>
    <w:bookmarkEnd w:id="44"/>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Date: August 7, 2025</w:t>
      </w:r>
    </w:p>
    <w:p>
      <w:pPr>
        <w:spacing w:after="0" w:line="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KVH Industries, Inc.</w:t>
      </w:r>
    </w:p>
    <w:p>
      <w:pPr>
        <w:spacing w:after="0" w:line="80" w:lineRule="exact"/>
        <w:rPr>
          <w:sz w:val="20"/>
          <w:szCs w:val="20"/>
          <w:color w:val="auto"/>
        </w:rPr>
      </w:pPr>
    </w:p>
    <w:p>
      <w:pPr>
        <w:ind w:left="5240"/>
        <w:spacing w:after="0"/>
        <w:tabs>
          <w:tab w:leader="none" w:pos="76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20320</wp:posOffset>
            </wp:positionV>
            <wp:extent cx="34766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1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b w:val="1"/>
          <w:bCs w:val="1"/>
          <w:color w:val="auto"/>
        </w:rPr>
        <w:t>Anthony F. Pike</w:t>
      </w:r>
    </w:p>
    <w:p>
      <w:pPr>
        <w:spacing w:after="0" w:line="2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b w:val="1"/>
          <w:bCs w:val="1"/>
          <w:color w:val="auto"/>
        </w:rPr>
        <w:t>(Duly Authorized Officer and Chief Financial</w:t>
      </w:r>
    </w:p>
    <w:p>
      <w:pPr>
        <w:ind w:left="8220"/>
        <w:spacing w:after="0"/>
        <w:rPr>
          <w:sz w:val="20"/>
          <w:szCs w:val="20"/>
          <w:color w:val="auto"/>
        </w:rPr>
      </w:pPr>
      <w:r>
        <w:rPr>
          <w:rFonts w:ascii="Times New Roman" w:cs="Times New Roman" w:eastAsia="Times New Roman" w:hAnsi="Times New Roman"/>
          <w:sz w:val="17"/>
          <w:szCs w:val="17"/>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0920"/>
          </w:cols>
          <w:pgMar w:left="320" w:top="1010" w:right="6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or 15d-14 under the Securities Exchange Act of 1934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Brent C. Bruun, certify that:</w:t>
      </w:r>
    </w:p>
    <w:p>
      <w:pPr>
        <w:spacing w:after="0" w:line="119" w:lineRule="exact"/>
        <w:rPr>
          <w:sz w:val="20"/>
          <w:szCs w:val="20"/>
          <w:color w:val="auto"/>
        </w:rPr>
      </w:pPr>
    </w:p>
    <w:p>
      <w:pPr>
        <w:ind w:left="640" w:hanging="321"/>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KVH Industries, Inc.;</w:t>
      </w:r>
    </w:p>
    <w:p>
      <w:pPr>
        <w:spacing w:after="0" w:line="118"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320" w:hanging="1"/>
        <w:spacing w:after="0" w:line="276" w:lineRule="auto"/>
        <w:tabs>
          <w:tab w:leader="none" w:pos="63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5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7, 2025</w:t>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20320</wp:posOffset>
            </wp:positionV>
            <wp:extent cx="24955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Brent C. Bruun</w:t>
      </w: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ectPr>
          <w:pgSz w:w="11900" w:h="16838" w:orient="portrait"/>
          <w:cols w:equalWidth="0" w:num="1">
            <w:col w:w="11240"/>
          </w:cols>
          <w:pgMar w:left="320" w:top="86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or 15d-14 under the Securities Exchange Act of 1934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Anthony F. Pike, certify that:</w:t>
      </w:r>
    </w:p>
    <w:p>
      <w:pPr>
        <w:spacing w:after="0" w:line="119" w:lineRule="exact"/>
        <w:rPr>
          <w:sz w:val="20"/>
          <w:szCs w:val="20"/>
          <w:color w:val="auto"/>
        </w:rPr>
      </w:pPr>
    </w:p>
    <w:p>
      <w:pPr>
        <w:ind w:left="640" w:hanging="321"/>
        <w:spacing w:after="0"/>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KVH Industries, Inc.;</w:t>
      </w:r>
    </w:p>
    <w:p>
      <w:pPr>
        <w:spacing w:after="0" w:line="118"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320" w:hanging="1"/>
        <w:spacing w:after="0" w:line="276" w:lineRule="auto"/>
        <w:tabs>
          <w:tab w:leader="none" w:pos="63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5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7, 2025</w:t>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20320</wp:posOffset>
            </wp:positionV>
            <wp:extent cx="24955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Anthony F. Pike</w:t>
      </w: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6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KVH Industries, Inc. (the “Company”) for the quarter ended June 30, 2025,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w:t>
      </w:r>
    </w:p>
    <w:p>
      <w:pPr>
        <w:spacing w:after="0" w:line="378" w:lineRule="exact"/>
        <w:rPr>
          <w:sz w:val="20"/>
          <w:szCs w:val="20"/>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Act of 1934; and</w:t>
      </w:r>
    </w:p>
    <w:p>
      <w:pPr>
        <w:spacing w:after="0" w:line="9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 Brent C. Bruun</w:t>
            </w:r>
          </w:p>
        </w:tc>
        <w:tc>
          <w:tcPr>
            <w:tcW w:w="2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Anthony F. Pike</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Brent C. Bruun</w:t>
            </w:r>
          </w:p>
        </w:tc>
        <w:tc>
          <w:tcPr>
            <w:tcW w:w="29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Anthony F. Pike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66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1520" w:type="dxa"/>
            <w:vAlign w:val="bottom"/>
          </w:tcPr>
          <w:p>
            <w:pPr>
              <w:spacing w:after="0"/>
              <w:rPr>
                <w:sz w:val="24"/>
                <w:szCs w:val="24"/>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August 7, 2025</w:t>
            </w:r>
          </w:p>
        </w:tc>
        <w:tc>
          <w:tcPr>
            <w:tcW w:w="15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Date: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August 7, 2025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1)"/>
      <w:numFmt w:val="decimal"/>
      <w:start w:val="3"/>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8"/>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1)"/>
      <w:numFmt w:val="decimal"/>
      <w:start w:val="11"/>
    </w:lvl>
  </w:abstractNum>
  <w:abstractNum w:abstractNumId="8">
    <w:nsid w:val="1BEFD79F"/>
    <w:multiLevelType w:val="hybridMultilevel"/>
    <w:lvl w:ilvl="0">
      <w:lvlJc w:val="left"/>
      <w:lvlText w:val="(%1)"/>
      <w:numFmt w:val="decimal"/>
      <w:start w:val="12"/>
    </w:lvl>
  </w:abstractNum>
  <w:abstractNum w:abstractNumId="9">
    <w:nsid w:val="41A7C4C9"/>
    <w:multiLevelType w:val="hybridMultilevel"/>
    <w:lvl w:ilvl="0">
      <w:lvlJc w:val="left"/>
      <w:lvlText w:val="(%1)"/>
      <w:numFmt w:val="decimal"/>
      <w:start w:val="13"/>
    </w:lvl>
  </w:abstractNum>
  <w:abstractNum w:abstractNumId="10">
    <w:nsid w:val="6B68079A"/>
    <w:multiLevelType w:val="hybridMultilevel"/>
    <w:lvl w:ilvl="0">
      <w:lvlJc w:val="left"/>
      <w:lvlText w:val="(%1)"/>
      <w:numFmt w:val="decimal"/>
      <w:start w:val="14"/>
    </w:lvl>
  </w:abstractNum>
  <w:abstractNum w:abstractNumId="11">
    <w:nsid w:val="4E6AFB66"/>
    <w:multiLevelType w:val="hybridMultilevel"/>
    <w:lvl w:ilvl="0">
      <w:lvlJc w:val="left"/>
      <w:lvlText w:val="(%1)"/>
      <w:numFmt w:val="decimal"/>
      <w:start w:val="15"/>
    </w:lvl>
  </w:abstractNum>
  <w:abstractNum w:abstractNumId="12">
    <w:nsid w:val="25E45D32"/>
    <w:multiLevelType w:val="hybridMultilevel"/>
    <w:lvl w:ilvl="0">
      <w:lvlJc w:val="left"/>
      <w:lvlText w:val="(%1)"/>
      <w:numFmt w:val="decimal"/>
      <w:start w:val="16"/>
    </w:lvl>
  </w:abstractNum>
  <w:abstractNum w:abstractNumId="13">
    <w:nsid w:val="519B500D"/>
    <w:multiLevelType w:val="hybridMultilevel"/>
    <w:lvl w:ilvl="0">
      <w:lvlJc w:val="left"/>
      <w:lvlText w:val="(%1)"/>
      <w:numFmt w:val="decimal"/>
      <w:start w:val="17"/>
    </w:lvl>
  </w:abstractNum>
  <w:abstractNum w:abstractNumId="14">
    <w:nsid w:val="431BD7B7"/>
    <w:multiLevelType w:val="hybridMultilevel"/>
    <w:lvl w:ilvl="0">
      <w:lvlJc w:val="left"/>
      <w:lvlText w:val="(%1)"/>
      <w:numFmt w:val="decimal"/>
      <w:start w:val="18"/>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9"/>
    </w:lvl>
  </w:abstractNum>
  <w:abstractNum w:abstractNumId="17">
    <w:nsid w:val="257130A3"/>
    <w:multiLevelType w:val="hybridMultilevel"/>
    <w:lvl w:ilvl="0">
      <w:lvlJc w:val="left"/>
      <w:lvlText w:val="(%1)"/>
      <w:numFmt w:val="decimal"/>
      <w:start w:val="20"/>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55" Type="http://schemas.openxmlformats.org/officeDocument/2006/relationships/hyperlink" Target="https://www.sec.gov/Archives/edgar/data/1007587/000119312510179682/dex31.htm" TargetMode="External"/><Relationship Id="rId56" Type="http://schemas.openxmlformats.org/officeDocument/2006/relationships/hyperlink" Target="https://www.sec.gov/Archives/edgar/data/1007587/000110465922092774/tm2223782d1_ex3-1.htm" TargetMode="External"/><Relationship Id="rId57" Type="http://schemas.openxmlformats.org/officeDocument/2006/relationships/hyperlink" Target="https://www.sec.gov/Archives/edgar/data/1007587/000100758717000038/kvhi1101201710qex32.htm" TargetMode="External"/><Relationship Id="rId58" Type="http://schemas.openxmlformats.org/officeDocument/2006/relationships/hyperlink" Target="https://www.sec.gov/Archives/edgar/data/1007587/000100758718000006/kvhi12312017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2025-08-07T13:36:33Z</dcterms:created>
  <dcterms:modified xsi:type="dcterms:W3CDTF">2025-08-07T13:36:33Z</dcterms:modified>
</cp:coreProperties>
</file>