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38735</wp:posOffset>
            </wp:positionV>
            <wp:extent cx="2091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58420</wp:posOffset>
            </wp:positionV>
            <wp:extent cx="2091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700" w:right="100" w:hanging="674"/>
        <w:spacing w:after="0" w:line="228"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 w:lineRule="exact"/>
        <w:rPr>
          <w:sz w:val="24"/>
          <w:szCs w:val="24"/>
          <w:color w:val="auto"/>
        </w:rPr>
      </w:pPr>
    </w:p>
    <w:p>
      <w:pPr>
        <w:ind w:left="700" w:right="80" w:hanging="674"/>
        <w:spacing w:after="0" w:line="228"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0" w:lineRule="exact"/>
        <w:rPr>
          <w:sz w:val="24"/>
          <w:szCs w:val="24"/>
          <w:color w:val="auto"/>
        </w:rPr>
      </w:pPr>
    </w:p>
    <w:p>
      <w:pPr>
        <w:jc w:val="right"/>
        <w:ind w:right="4360"/>
        <w:spacing w:after="0"/>
        <w:tabs>
          <w:tab w:leader="none" w:pos="4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jc w:val="right"/>
        <w:ind w:right="4320"/>
        <w:spacing w:after="0"/>
        <w:rPr>
          <w:sz w:val="20"/>
          <w:szCs w:val="20"/>
          <w:color w:val="auto"/>
        </w:rPr>
      </w:pPr>
      <w:r>
        <w:rPr>
          <w:rFonts w:ascii="Arial" w:cs="Arial" w:eastAsia="Arial" w:hAnsi="Arial"/>
          <w:sz w:val="18"/>
          <w:szCs w:val="18"/>
          <w:b w:val="1"/>
          <w:bCs w:val="1"/>
          <w:color w:val="auto"/>
        </w:rPr>
        <w:t>Commission File Number 0-28082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38735</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KVH Industries, Inc.</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38735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201" w:lineRule="exact"/>
        <w:rPr>
          <w:sz w:val="24"/>
          <w:szCs w:val="24"/>
          <w:color w:val="auto"/>
        </w:rPr>
      </w:pPr>
    </w:p>
    <w:p>
      <w:pPr>
        <w:ind w:left="25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05-0420589</w:t>
      </w:r>
    </w:p>
    <w:p>
      <w:pPr>
        <w:spacing w:after="0" w:line="57" w:lineRule="exact"/>
        <w:rPr>
          <w:sz w:val="24"/>
          <w:szCs w:val="24"/>
          <w:color w:val="auto"/>
        </w:rPr>
      </w:pPr>
    </w:p>
    <w:p>
      <w:pPr>
        <w:sectPr>
          <w:pgSz w:w="11900" w:h="16838" w:orient="portrait"/>
          <w:cols w:equalWidth="0" w:num="2">
            <w:col w:w="7340" w:space="720"/>
            <w:col w:w="3180"/>
          </w:cols>
          <w:pgMar w:left="320" w:top="995" w:right="339" w:bottom="1440" w:gutter="0" w:footer="0" w:header="0"/>
          <w:type w:val="continuous"/>
        </w:sectPr>
      </w:pPr>
    </w:p>
    <w:p>
      <w:pPr>
        <w:ind w:left="102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Number)</w:t>
      </w:r>
    </w:p>
    <w:p>
      <w:pPr>
        <w:spacing w:after="0" w:line="117" w:lineRule="exact"/>
        <w:rPr>
          <w:sz w:val="24"/>
          <w:szCs w:val="24"/>
          <w:color w:val="auto"/>
        </w:rPr>
      </w:pPr>
    </w:p>
    <w:p>
      <w:pPr>
        <w:sectPr>
          <w:pgSz w:w="11900" w:h="16838" w:orient="portrait"/>
          <w:cols w:equalWidth="0" w:num="2">
            <w:col w:w="6520" w:space="720"/>
            <w:col w:w="4000"/>
          </w:cols>
          <w:pgMar w:left="320" w:top="995"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50 Enterprise Center, Middletown, RI 02842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(401) 847-3327</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72390</wp:posOffset>
            </wp:positionV>
            <wp:extent cx="2091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Securities registered pursuant to Section 12(b) of the Act:</w:t>
      </w:r>
    </w:p>
    <w:p>
      <w:pPr>
        <w:sectPr>
          <w:pgSz w:w="11900" w:h="16838" w:orient="portrait"/>
          <w:cols w:equalWidth="0" w:num="1">
            <w:col w:w="11240"/>
          </w:cols>
          <w:pgMar w:left="320" w:top="995" w:right="339" w:bottom="1440" w:gutter="0" w:footer="0" w:header="0"/>
          <w:type w:val="continuous"/>
        </w:sectPr>
      </w:pPr>
    </w:p>
    <w:p>
      <w:pPr>
        <w:spacing w:after="0" w:line="51" w:lineRule="exact"/>
        <w:rPr>
          <w:sz w:val="24"/>
          <w:szCs w:val="24"/>
          <w:color w:val="auto"/>
        </w:rPr>
      </w:pPr>
    </w:p>
    <w:p>
      <w:pPr>
        <w:ind w:left="16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jc w:val="center"/>
        <w:ind w:right="64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55" w:lineRule="exact"/>
        <w:rPr>
          <w:sz w:val="24"/>
          <w:szCs w:val="24"/>
          <w:color w:val="auto"/>
        </w:rPr>
      </w:pPr>
    </w:p>
    <w:p>
      <w:pPr>
        <w:jc w:val="center"/>
        <w:ind w:right="640"/>
        <w:spacing w:after="0"/>
        <w:rPr>
          <w:sz w:val="20"/>
          <w:szCs w:val="20"/>
          <w:color w:val="auto"/>
        </w:rPr>
      </w:pPr>
      <w:r>
        <w:rPr>
          <w:rFonts w:ascii="Arial" w:cs="Arial" w:eastAsia="Arial" w:hAnsi="Arial"/>
          <w:sz w:val="14"/>
          <w:szCs w:val="14"/>
          <w:color w:val="auto"/>
        </w:rPr>
        <w:t>The Nasdaq Stock Market LLC</w:t>
      </w:r>
    </w:p>
    <w:p>
      <w:pPr>
        <w:spacing w:after="0" w:line="82" w:lineRule="exact"/>
        <w:rPr>
          <w:sz w:val="24"/>
          <w:szCs w:val="24"/>
          <w:color w:val="auto"/>
        </w:rPr>
      </w:pPr>
    </w:p>
    <w:p>
      <w:pPr>
        <w:sectPr>
          <w:pgSz w:w="11900" w:h="16838" w:orient="portrait"/>
          <w:cols w:equalWidth="0" w:num="3">
            <w:col w:w="4500" w:space="720"/>
            <w:col w:w="1880" w:space="720"/>
            <w:col w:w="3420"/>
          </w:cols>
          <w:pgMar w:left="320" w:top="995" w:right="339" w:bottom="1440" w:gutter="0" w:footer="0" w:header="0"/>
          <w:type w:val="continuous"/>
        </w:sectPr>
      </w:pPr>
    </w:p>
    <w:p>
      <w:pPr>
        <w:ind w:left="1000"/>
        <w:spacing w:after="0"/>
        <w:rPr>
          <w:sz w:val="20"/>
          <w:szCs w:val="20"/>
          <w:color w:val="auto"/>
        </w:rPr>
      </w:pPr>
      <w:r>
        <w:rPr>
          <w:rFonts w:ascii="Arial" w:cs="Arial" w:eastAsia="Arial" w:hAnsi="Arial"/>
          <w:sz w:val="12"/>
          <w:szCs w:val="12"/>
          <w:color w:val="auto"/>
        </w:rPr>
        <w:t>Common Stock, par value $0.01 per share</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Arial" w:cs="Arial" w:eastAsia="Arial" w:hAnsi="Arial"/>
          <w:sz w:val="14"/>
          <w:szCs w:val="14"/>
          <w:color w:val="auto"/>
        </w:rPr>
        <w:t>KVHI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(Nasdaq Global Select Market)</w:t>
      </w:r>
    </w:p>
    <w:p>
      <w:pPr>
        <w:spacing w:after="0" w:line="211" w:lineRule="exact"/>
        <w:rPr>
          <w:sz w:val="24"/>
          <w:szCs w:val="24"/>
          <w:color w:val="auto"/>
        </w:rPr>
      </w:pPr>
    </w:p>
    <w:p>
      <w:pPr>
        <w:sectPr>
          <w:pgSz w:w="11900" w:h="16838" w:orient="portrait"/>
          <w:cols w:equalWidth="0" w:num="3">
            <w:col w:w="4900" w:space="720"/>
            <w:col w:w="1980" w:space="720"/>
            <w:col w:w="2920"/>
          </w:cols>
          <w:pgMar w:left="320" w:top="995" w:right="339" w:bottom="1440" w:gutter="0" w:footer="0" w:header="0"/>
          <w:type w:val="continuous"/>
        </w:sectPr>
      </w:pPr>
    </w:p>
    <w:p>
      <w:pPr>
        <w:spacing w:after="0" w:line="200" w:lineRule="exact"/>
        <w:rPr>
          <w:sz w:val="24"/>
          <w:szCs w:val="24"/>
          <w:color w:val="auto"/>
        </w:rPr>
      </w:pPr>
    </w:p>
    <w:p>
      <w:pPr>
        <w:spacing w:after="0" w:line="213" w:lineRule="exact"/>
        <w:rPr>
          <w:sz w:val="24"/>
          <w:szCs w:val="24"/>
          <w:color w:val="auto"/>
        </w:rPr>
      </w:pPr>
    </w:p>
    <w:p>
      <w:pPr>
        <w:jc w:val="both"/>
        <w:spacing w:after="0" w:line="20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jc w:val="both"/>
        <w:spacing w:after="0" w:line="20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920" w:type="dxa"/>
            <w:vAlign w:val="bottom"/>
          </w:tcPr>
          <w:p>
            <w:pPr>
              <w:spacing w:after="0" w:line="200" w:lineRule="exact"/>
              <w:rPr>
                <w:sz w:val="20"/>
                <w:szCs w:val="20"/>
                <w:color w:val="auto"/>
              </w:rPr>
            </w:pPr>
            <w:r>
              <w:rPr>
                <w:rFonts w:ascii="Arial" w:cs="Arial" w:eastAsia="Arial" w:hAnsi="Arial"/>
                <w:sz w:val="18"/>
                <w:szCs w:val="18"/>
                <w:color w:val="auto"/>
              </w:rPr>
              <w:t>Large accelerated filer</w:t>
            </w:r>
          </w:p>
        </w:tc>
        <w:tc>
          <w:tcPr>
            <w:tcW w:w="33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60"/>
              <w:spacing w:after="0" w:line="200" w:lineRule="exact"/>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20" w:type="dxa"/>
            <w:vAlign w:val="bottom"/>
          </w:tcPr>
          <w:p>
            <w:pPr>
              <w:ind w:left="28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4"/>
          <w:szCs w:val="24"/>
          <w:color w:val="auto"/>
        </w:rPr>
      </w:pPr>
    </w:p>
    <w:p>
      <w:pPr>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Outstanding shares</w:t>
            </w:r>
          </w:p>
        </w:tc>
        <w:tc>
          <w:tcPr>
            <w:tcW w:w="1060" w:type="dxa"/>
            <w:vAlign w:val="bottom"/>
          </w:tcPr>
          <w:p>
            <w:pPr>
              <w:spacing w:after="0"/>
              <w:rPr>
                <w:sz w:val="14"/>
                <w:szCs w:val="14"/>
                <w:color w:val="auto"/>
              </w:rPr>
            </w:pPr>
          </w:p>
        </w:tc>
      </w:tr>
      <w:tr>
        <w:trPr>
          <w:trHeight w:val="250"/>
        </w:trPr>
        <w:tc>
          <w:tcPr>
            <w:tcW w:w="314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August 1, 2023</w:t>
            </w:r>
          </w:p>
        </w:tc>
        <w:tc>
          <w:tcPr>
            <w:tcW w:w="4920" w:type="dxa"/>
            <w:vAlign w:val="bottom"/>
            <w:gridSpan w:val="3"/>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120" w:type="dxa"/>
            <w:vAlign w:val="bottom"/>
            <w:gridSpan w:val="2"/>
          </w:tcPr>
          <w:p>
            <w:pPr>
              <w:jc w:val="right"/>
              <w:ind w:right="128"/>
              <w:spacing w:after="0"/>
              <w:rPr>
                <w:sz w:val="20"/>
                <w:szCs w:val="20"/>
                <w:color w:val="auto"/>
              </w:rPr>
            </w:pPr>
            <w:r>
              <w:rPr>
                <w:rFonts w:ascii="Arial" w:cs="Arial" w:eastAsia="Arial" w:hAnsi="Arial"/>
                <w:sz w:val="18"/>
                <w:szCs w:val="18"/>
                <w:color w:val="auto"/>
              </w:rPr>
              <w:t>19,535,522</w:t>
            </w:r>
          </w:p>
        </w:tc>
        <w:tc>
          <w:tcPr>
            <w:tcW w:w="1060" w:type="dxa"/>
            <w:vAlign w:val="bottom"/>
          </w:tcPr>
          <w:p>
            <w:pPr>
              <w:spacing w:after="0"/>
              <w:rPr>
                <w:sz w:val="21"/>
                <w:szCs w:val="21"/>
                <w:color w:val="auto"/>
              </w:rPr>
            </w:pPr>
          </w:p>
        </w:tc>
      </w:tr>
      <w:tr>
        <w:trPr>
          <w:trHeight w:val="1047"/>
        </w:trPr>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580" w:type="dxa"/>
            <w:vAlign w:val="bottom"/>
            <w:gridSpan w:val="10"/>
          </w:tcPr>
          <w:p>
            <w:pPr>
              <w:jc w:val="center"/>
              <w:ind w:right="2740"/>
              <w:spacing w:after="0"/>
              <w:rPr>
                <w:sz w:val="20"/>
                <w:szCs w:val="20"/>
                <w:color w:val="auto"/>
              </w:rPr>
            </w:pPr>
            <w:r>
              <w:rPr>
                <w:rFonts w:ascii="Arial" w:cs="Arial" w:eastAsia="Arial" w:hAnsi="Arial"/>
                <w:sz w:val="18"/>
                <w:szCs w:val="18"/>
                <w:b w:val="1"/>
                <w:bCs w:val="1"/>
                <w:color w:val="auto"/>
              </w:rPr>
              <w:t>KVH INDUSTRIES, INC. AND SUBSIDIARIES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40" w:type="dxa"/>
            <w:vAlign w:val="bottom"/>
            <w:gridSpan w:val="8"/>
          </w:tcPr>
          <w:p>
            <w:pPr>
              <w:jc w:val="center"/>
              <w:ind w:right="4160"/>
              <w:spacing w:after="0"/>
              <w:rPr>
                <w:sz w:val="20"/>
                <w:szCs w:val="20"/>
                <w:color w:val="auto"/>
              </w:rPr>
            </w:pPr>
            <w:r>
              <w:rPr>
                <w:rFonts w:ascii="Arial" w:cs="Arial" w:eastAsia="Arial" w:hAnsi="Arial"/>
                <w:sz w:val="18"/>
                <w:szCs w:val="18"/>
                <w:b w:val="1"/>
                <w:bCs w:val="1"/>
                <w:color w:val="auto"/>
                <w:w w:val="95"/>
              </w:rPr>
              <w:t>Form 10-Q</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140" w:type="dxa"/>
            <w:vAlign w:val="bottom"/>
            <w:gridSpan w:val="8"/>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2"/>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60" w:type="dxa"/>
            <w:vAlign w:val="bottom"/>
            <w:gridSpan w:val="22"/>
            <w:vMerge w:val="continue"/>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60" w:type="dxa"/>
            <w:vAlign w:val="bottom"/>
            <w:gridSpan w:val="20"/>
          </w:tcPr>
          <w:p>
            <w:pPr>
              <w:spacing w:after="0"/>
              <w:rPr>
                <w:sz w:val="20"/>
                <w:szCs w:val="20"/>
                <w:color w:val="auto"/>
              </w:rPr>
            </w:pPr>
            <w:r>
              <w:rPr>
                <w:rFonts w:ascii="Arial" w:cs="Arial" w:eastAsia="Arial" w:hAnsi="Arial"/>
                <w:sz w:val="18"/>
                <w:szCs w:val="18"/>
                <w:color w:val="0000FF"/>
              </w:rPr>
              <w:t>INTERIM FINANCIAL STATEMENTS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gridSpan w:val="14"/>
          </w:tcPr>
          <w:p>
            <w:pPr>
              <w:spacing w:after="0"/>
              <w:rPr>
                <w:sz w:val="20"/>
                <w:szCs w:val="20"/>
                <w:color w:val="auto"/>
              </w:rPr>
            </w:pPr>
            <w:r>
              <w:rPr>
                <w:rFonts w:ascii="Arial" w:cs="Arial" w:eastAsia="Arial" w:hAnsi="Arial"/>
                <w:sz w:val="18"/>
                <w:szCs w:val="18"/>
                <w:color w:val="0000FF"/>
                <w:w w:val="88"/>
              </w:rPr>
              <w:t>Consolidated Balance Sheets as of June 30, 2023 (unaudited) and December 31, 2022</w:t>
            </w:r>
          </w:p>
        </w:tc>
        <w:tc>
          <w:tcPr>
            <w:tcW w:w="3000" w:type="dxa"/>
            <w:vAlign w:val="bottom"/>
            <w:gridSpan w:val="6"/>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80" w:type="dxa"/>
            <w:vAlign w:val="bottom"/>
            <w:gridSpan w:val="17"/>
          </w:tcPr>
          <w:p>
            <w:pPr>
              <w:spacing w:after="0"/>
              <w:rPr>
                <w:sz w:val="20"/>
                <w:szCs w:val="20"/>
                <w:color w:val="auto"/>
              </w:rPr>
            </w:pPr>
            <w:r>
              <w:rPr>
                <w:rFonts w:ascii="Arial" w:cs="Arial" w:eastAsia="Arial" w:hAnsi="Arial"/>
                <w:sz w:val="18"/>
                <w:szCs w:val="18"/>
                <w:color w:val="0000FF"/>
                <w:w w:val="89"/>
              </w:rPr>
              <w:t>Consolidated Statements of Operations for the three and six months ended June 30, 2023 and 2022 (unaudited)</w:t>
            </w:r>
          </w:p>
        </w:tc>
        <w:tc>
          <w:tcPr>
            <w:tcW w:w="1180" w:type="dxa"/>
            <w:vAlign w:val="bottom"/>
            <w:gridSpan w:val="3"/>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60" w:type="dxa"/>
            <w:vAlign w:val="bottom"/>
            <w:gridSpan w:val="20"/>
          </w:tcPr>
          <w:p>
            <w:pPr>
              <w:spacing w:after="0"/>
              <w:rPr>
                <w:sz w:val="20"/>
                <w:szCs w:val="20"/>
                <w:color w:val="auto"/>
              </w:rPr>
            </w:pPr>
            <w:r>
              <w:rPr>
                <w:rFonts w:ascii="Arial" w:cs="Arial" w:eastAsia="Arial" w:hAnsi="Arial"/>
                <w:sz w:val="18"/>
                <w:szCs w:val="18"/>
                <w:color w:val="0000FF"/>
                <w:w w:val="95"/>
              </w:rPr>
              <w:t>Consolidated Statement</w:t>
            </w:r>
            <w:r>
              <w:rPr>
                <w:rFonts w:ascii="Arial" w:cs="Arial" w:eastAsia="Arial" w:hAnsi="Arial"/>
                <w:sz w:val="18"/>
                <w:szCs w:val="18"/>
                <w:color w:val="0E32E1"/>
                <w:w w:val="95"/>
              </w:rPr>
              <w:t>s of Comprehensive Income (Loss) for t</w:t>
            </w:r>
            <w:r>
              <w:rPr>
                <w:rFonts w:ascii="Arial" w:cs="Arial" w:eastAsia="Arial" w:hAnsi="Arial"/>
                <w:sz w:val="18"/>
                <w:szCs w:val="18"/>
                <w:color w:val="0000FF"/>
                <w:w w:val="95"/>
              </w:rPr>
              <w:t>he three and six months ended June 30, 2023 and 2022</w:t>
            </w:r>
          </w:p>
        </w:tc>
        <w:tc>
          <w:tcPr>
            <w:tcW w:w="940" w:type="dxa"/>
            <w:vAlign w:val="bottom"/>
            <w:gridSpan w:val="4"/>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(unaudited)</w:t>
            </w:r>
          </w:p>
        </w:tc>
        <w:tc>
          <w:tcPr>
            <w:tcW w:w="20" w:type="dxa"/>
            <w:vAlign w:val="bottom"/>
          </w:tcPr>
          <w:p>
            <w:pPr>
              <w:spacing w:after="0"/>
              <w:rPr>
                <w:sz w:val="13"/>
                <w:szCs w:val="13"/>
                <w:color w:val="auto"/>
              </w:rPr>
            </w:pPr>
          </w:p>
        </w:tc>
        <w:tc>
          <w:tcPr>
            <w:tcW w:w="140" w:type="dxa"/>
            <w:vAlign w:val="bottom"/>
            <w:tcBorders>
              <w:top w:val="single" w:sz="8" w:color="0E32E1"/>
            </w:tcBorders>
          </w:tcPr>
          <w:p>
            <w:pPr>
              <w:spacing w:after="0"/>
              <w:rPr>
                <w:sz w:val="13"/>
                <w:szCs w:val="13"/>
                <w:color w:val="auto"/>
              </w:rPr>
            </w:pPr>
          </w:p>
        </w:tc>
        <w:tc>
          <w:tcPr>
            <w:tcW w:w="720" w:type="dxa"/>
            <w:vAlign w:val="bottom"/>
            <w:tcBorders>
              <w:top w:val="single" w:sz="8" w:color="0E32E1"/>
            </w:tcBorders>
            <w:gridSpan w:val="2"/>
          </w:tcPr>
          <w:p>
            <w:pPr>
              <w:spacing w:after="0"/>
              <w:rPr>
                <w:sz w:val="13"/>
                <w:szCs w:val="13"/>
                <w:color w:val="auto"/>
              </w:rPr>
            </w:pPr>
          </w:p>
        </w:tc>
        <w:tc>
          <w:tcPr>
            <w:tcW w:w="1440" w:type="dxa"/>
            <w:vAlign w:val="bottom"/>
            <w:tcBorders>
              <w:top w:val="single" w:sz="8" w:color="0E32E1"/>
            </w:tcBorders>
            <w:gridSpan w:val="2"/>
          </w:tcPr>
          <w:p>
            <w:pPr>
              <w:spacing w:after="0"/>
              <w:rPr>
                <w:sz w:val="13"/>
                <w:szCs w:val="13"/>
                <w:color w:val="auto"/>
              </w:rPr>
            </w:pPr>
          </w:p>
        </w:tc>
        <w:tc>
          <w:tcPr>
            <w:tcW w:w="560" w:type="dxa"/>
            <w:vAlign w:val="bottom"/>
            <w:tcBorders>
              <w:top w:val="single" w:sz="8" w:color="0E32E1"/>
            </w:tcBorders>
          </w:tcPr>
          <w:p>
            <w:pPr>
              <w:spacing w:after="0"/>
              <w:rPr>
                <w:sz w:val="13"/>
                <w:szCs w:val="13"/>
                <w:color w:val="auto"/>
              </w:rPr>
            </w:pPr>
          </w:p>
        </w:tc>
        <w:tc>
          <w:tcPr>
            <w:tcW w:w="2740" w:type="dxa"/>
            <w:vAlign w:val="bottom"/>
            <w:tcBorders>
              <w:top w:val="single" w:sz="8" w:color="0000FF"/>
            </w:tcBorders>
            <w:gridSpan w:val="2"/>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80" w:type="dxa"/>
            <w:vAlign w:val="bottom"/>
            <w:gridSpan w:val="19"/>
          </w:tcPr>
          <w:p>
            <w:pPr>
              <w:spacing w:after="0"/>
              <w:rPr>
                <w:sz w:val="20"/>
                <w:szCs w:val="20"/>
                <w:color w:val="auto"/>
              </w:rPr>
            </w:pPr>
            <w:r>
              <w:rPr>
                <w:rFonts w:ascii="Arial" w:cs="Arial" w:eastAsia="Arial" w:hAnsi="Arial"/>
                <w:sz w:val="18"/>
                <w:szCs w:val="18"/>
                <w:color w:val="0000FF"/>
                <w:w w:val="89"/>
              </w:rPr>
              <w:t>Consolidated Statements of Stockholders' Equity for the three and six months ended June 30, 2023 and 2022 (unaudited)</w:t>
            </w:r>
          </w:p>
        </w:tc>
        <w:tc>
          <w:tcPr>
            <w:tcW w:w="4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20" w:type="dxa"/>
            <w:vAlign w:val="bottom"/>
            <w:gridSpan w:val="15"/>
          </w:tcPr>
          <w:p>
            <w:pPr>
              <w:spacing w:after="0"/>
              <w:rPr>
                <w:sz w:val="20"/>
                <w:szCs w:val="20"/>
                <w:color w:val="auto"/>
              </w:rPr>
            </w:pPr>
            <w:r>
              <w:rPr>
                <w:rFonts w:ascii="Arial" w:cs="Arial" w:eastAsia="Arial" w:hAnsi="Arial"/>
                <w:sz w:val="18"/>
                <w:szCs w:val="18"/>
                <w:color w:val="0000FF"/>
                <w:w w:val="89"/>
              </w:rPr>
              <w:t>Consolidated Statements of Cash Flows for the six months ended June 30, 2023 and 2022 (unaudited)</w:t>
            </w:r>
          </w:p>
        </w:tc>
        <w:tc>
          <w:tcPr>
            <w:tcW w:w="1360" w:type="dxa"/>
            <w:vAlign w:val="bottom"/>
            <w:gridSpan w:val="4"/>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gridSpan w:val="12"/>
          </w:tcPr>
          <w:p>
            <w:pPr>
              <w:spacing w:after="0"/>
              <w:rPr>
                <w:sz w:val="20"/>
                <w:szCs w:val="20"/>
                <w:color w:val="auto"/>
              </w:rPr>
            </w:pPr>
            <w:r>
              <w:rPr>
                <w:rFonts w:ascii="Arial" w:cs="Arial" w:eastAsia="Arial" w:hAnsi="Arial"/>
                <w:sz w:val="18"/>
                <w:szCs w:val="18"/>
                <w:color w:val="0000FF"/>
                <w:w w:val="89"/>
              </w:rPr>
              <w:t>Notes to Consolidated Financial Statements (unaudited)</w:t>
            </w:r>
          </w:p>
        </w:tc>
        <w:tc>
          <w:tcPr>
            <w:tcW w:w="3300" w:type="dxa"/>
            <w:vAlign w:val="bottom"/>
            <w:gridSpan w:val="3"/>
          </w:tcPr>
          <w:p>
            <w:pPr>
              <w:spacing w:after="0"/>
              <w:rPr>
                <w:sz w:val="18"/>
                <w:szCs w:val="18"/>
                <w:color w:val="auto"/>
              </w:rPr>
            </w:pPr>
          </w:p>
        </w:tc>
        <w:tc>
          <w:tcPr>
            <w:tcW w:w="1840" w:type="dxa"/>
            <w:vAlign w:val="bottom"/>
            <w:gridSpan w:val="5"/>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6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w:t>
            </w:r>
          </w:p>
        </w:tc>
        <w:tc>
          <w:tcPr>
            <w:tcW w:w="940" w:type="dxa"/>
            <w:vAlign w:val="bottom"/>
            <w:gridSpan w:val="4"/>
          </w:tcPr>
          <w:p>
            <w:pPr>
              <w:jc w:val="right"/>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1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1"/>
              </w:rPr>
              <w:t>OPERATIONS</w:t>
            </w:r>
          </w:p>
        </w:tc>
        <w:tc>
          <w:tcPr>
            <w:tcW w:w="6460" w:type="dxa"/>
            <w:vAlign w:val="bottom"/>
            <w:tcBorders>
              <w:top w:val="single" w:sz="8" w:color="0000FF"/>
            </w:tcBorders>
            <w:gridSpan w:val="12"/>
          </w:tcPr>
          <w:p>
            <w:pPr>
              <w:spacing w:after="0"/>
              <w:rPr>
                <w:sz w:val="14"/>
                <w:szCs w:val="14"/>
                <w:color w:val="auto"/>
              </w:rPr>
            </w:pPr>
          </w:p>
        </w:tc>
        <w:tc>
          <w:tcPr>
            <w:tcW w:w="144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6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940" w:type="dxa"/>
            <w:vAlign w:val="bottom"/>
            <w:gridSpan w:val="4"/>
          </w:tcPr>
          <w:p>
            <w:pPr>
              <w:jc w:val="right"/>
              <w:spacing w:after="0"/>
              <w:rPr>
                <w:sz w:val="20"/>
                <w:szCs w:val="20"/>
                <w:color w:val="auto"/>
              </w:rPr>
            </w:pPr>
            <w:r>
              <w:rPr>
                <w:rFonts w:ascii="Arial" w:cs="Arial" w:eastAsia="Arial" w:hAnsi="Arial"/>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58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rPr>
              <w:t>PART II. OTHER INFORMATION</w:t>
            </w:r>
          </w:p>
        </w:tc>
        <w:tc>
          <w:tcPr>
            <w:tcW w:w="7480" w:type="dxa"/>
            <w:vAlign w:val="bottom"/>
            <w:gridSpan w:val="15"/>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8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3"/>
              </w:rPr>
              <w:t>LEGAL PROCEEDINGS</w:t>
            </w:r>
          </w:p>
        </w:tc>
        <w:tc>
          <w:tcPr>
            <w:tcW w:w="7300" w:type="dxa"/>
            <w:vAlign w:val="bottom"/>
            <w:gridSpan w:val="12"/>
          </w:tcPr>
          <w:p>
            <w:pPr>
              <w:spacing w:after="0"/>
              <w:rPr>
                <w:sz w:val="19"/>
                <w:szCs w:val="19"/>
                <w:color w:val="auto"/>
              </w:rPr>
            </w:pPr>
          </w:p>
        </w:tc>
        <w:tc>
          <w:tcPr>
            <w:tcW w:w="76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RISK FACTORS</w:t>
            </w:r>
          </w:p>
        </w:tc>
        <w:tc>
          <w:tcPr>
            <w:tcW w:w="7920" w:type="dxa"/>
            <w:vAlign w:val="bottom"/>
            <w:gridSpan w:val="17"/>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EXHIBITS</w:t>
            </w:r>
          </w:p>
        </w:tc>
        <w:tc>
          <w:tcPr>
            <w:tcW w:w="8340" w:type="dxa"/>
            <w:vAlign w:val="bottom"/>
            <w:gridSpan w:val="18"/>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0000FF"/>
              </w:rPr>
              <w:t>SIGNATURE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0000FF"/>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3"/>
          </w:tcPr>
          <w:p>
            <w:pPr>
              <w:jc w:val="center"/>
              <w:ind w:left="4330"/>
              <w:spacing w:after="0"/>
              <w:rPr>
                <w:sz w:val="20"/>
                <w:szCs w:val="20"/>
                <w:color w:val="auto"/>
              </w:rPr>
            </w:pPr>
            <w:r>
              <w:rPr>
                <w:rFonts w:ascii="Arial" w:cs="Arial" w:eastAsia="Arial" w:hAnsi="Arial"/>
                <w:sz w:val="18"/>
                <w:szCs w:val="18"/>
                <w:color w:val="auto"/>
                <w:w w:val="79"/>
              </w:rPr>
              <w:t>2</w:t>
            </w: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Financial Statements</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KVH INDUSTRIES, INC. AND SUBSIDIARIES</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6"/>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76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0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14,008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21,056</w:t>
            </w:r>
          </w:p>
        </w:tc>
        <w:tc>
          <w:tcPr>
            <w:tcW w:w="0" w:type="dxa"/>
            <w:vAlign w:val="bottom"/>
          </w:tcPr>
          <w:p>
            <w:pPr>
              <w:spacing w:after="0"/>
              <w:rPr>
                <w:sz w:val="1"/>
                <w:szCs w:val="1"/>
                <w:color w:val="auto"/>
              </w:rPr>
            </w:pPr>
          </w:p>
        </w:tc>
      </w:tr>
      <w:tr>
        <w:trPr>
          <w:trHeight w:val="186"/>
        </w:trPr>
        <w:tc>
          <w:tcPr>
            <w:tcW w:w="8060" w:type="dxa"/>
            <w:vAlign w:val="bottom"/>
          </w:tcPr>
          <w:p>
            <w:pPr>
              <w:ind w:left="360"/>
              <w:spacing w:after="0"/>
              <w:rPr>
                <w:sz w:val="20"/>
                <w:szCs w:val="20"/>
                <w:color w:val="auto"/>
              </w:rPr>
            </w:pPr>
            <w:r>
              <w:rPr>
                <w:rFonts w:ascii="Arial" w:cs="Arial" w:eastAsia="Arial" w:hAnsi="Arial"/>
                <w:sz w:val="14"/>
                <w:szCs w:val="14"/>
                <w:color w:val="auto"/>
              </w:rPr>
              <w:t>Marketable securities</w:t>
            </w:r>
          </w:p>
        </w:tc>
        <w:tc>
          <w:tcPr>
            <w:tcW w:w="2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56,966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55,680</w:t>
            </w:r>
          </w:p>
        </w:tc>
        <w:tc>
          <w:tcPr>
            <w:tcW w:w="0" w:type="dxa"/>
            <w:vAlign w:val="bottom"/>
          </w:tcPr>
          <w:p>
            <w:pPr>
              <w:spacing w:after="0"/>
              <w:rPr>
                <w:sz w:val="1"/>
                <w:szCs w:val="1"/>
                <w:color w:val="auto"/>
              </w:rPr>
            </w:pPr>
          </w:p>
        </w:tc>
      </w:tr>
      <w:tr>
        <w:trPr>
          <w:trHeight w:val="147"/>
        </w:trPr>
        <w:tc>
          <w:tcPr>
            <w:tcW w:w="806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Accounts receivable, net of allowance for credit losses of $1,187 and $1,268 as of June 30, 2023 and December 31, 2022,</w:t>
            </w: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respectively</w:t>
            </w: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26,975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27,427</w:t>
            </w:r>
          </w:p>
        </w:tc>
        <w:tc>
          <w:tcPr>
            <w:tcW w:w="0" w:type="dxa"/>
            <w:vAlign w:val="bottom"/>
          </w:tcPr>
          <w:p>
            <w:pPr>
              <w:spacing w:after="0"/>
              <w:rPr>
                <w:sz w:val="1"/>
                <w:szCs w:val="1"/>
                <w:color w:val="auto"/>
              </w:rPr>
            </w:pPr>
          </w:p>
        </w:tc>
      </w:tr>
      <w:tr>
        <w:trPr>
          <w:trHeight w:val="186"/>
        </w:trPr>
        <w:tc>
          <w:tcPr>
            <w:tcW w:w="8060" w:type="dxa"/>
            <w:vAlign w:val="bottom"/>
          </w:tcPr>
          <w:p>
            <w:pPr>
              <w:ind w:left="36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24,179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22,730</w:t>
            </w:r>
          </w:p>
        </w:tc>
        <w:tc>
          <w:tcPr>
            <w:tcW w:w="0" w:type="dxa"/>
            <w:vAlign w:val="bottom"/>
          </w:tcPr>
          <w:p>
            <w:pPr>
              <w:spacing w:after="0"/>
              <w:rPr>
                <w:sz w:val="1"/>
                <w:szCs w:val="1"/>
                <w:color w:val="auto"/>
              </w:rPr>
            </w:pPr>
          </w:p>
        </w:tc>
      </w:tr>
      <w:tr>
        <w:trPr>
          <w:trHeight w:val="186"/>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2,382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186"/>
        </w:trPr>
        <w:tc>
          <w:tcPr>
            <w:tcW w:w="8060" w:type="dxa"/>
            <w:vAlign w:val="bottom"/>
          </w:tcPr>
          <w:p>
            <w:pPr>
              <w:ind w:left="360"/>
              <w:spacing w:after="0"/>
              <w:rPr>
                <w:sz w:val="20"/>
                <w:szCs w:val="20"/>
                <w:color w:val="auto"/>
              </w:rPr>
            </w:pPr>
            <w:r>
              <w:rPr>
                <w:rFonts w:ascii="Arial" w:cs="Arial" w:eastAsia="Arial" w:hAnsi="Arial"/>
                <w:sz w:val="14"/>
                <w:szCs w:val="14"/>
                <w:color w:val="auto"/>
              </w:rPr>
              <w:t>Current contract assets</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199"/>
        </w:trPr>
        <w:tc>
          <w:tcPr>
            <w:tcW w:w="8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125,672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131,203</w:t>
            </w:r>
          </w:p>
        </w:tc>
        <w:tc>
          <w:tcPr>
            <w:tcW w:w="0" w:type="dxa"/>
            <w:vAlign w:val="bottom"/>
          </w:tcPr>
          <w:p>
            <w:pPr>
              <w:spacing w:after="0"/>
              <w:rPr>
                <w:sz w:val="1"/>
                <w:szCs w:val="1"/>
                <w:color w:val="auto"/>
              </w:rPr>
            </w:pPr>
          </w:p>
        </w:tc>
      </w:tr>
      <w:tr>
        <w:trPr>
          <w:trHeight w:val="176"/>
        </w:trPr>
        <w:tc>
          <w:tcPr>
            <w:tcW w:w="80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50,790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53,118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82"/>
        </w:trPr>
        <w:tc>
          <w:tcPr>
            <w:tcW w:w="8060" w:type="dxa"/>
            <w:vAlign w:val="bottom"/>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5,351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5,308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Right of use assets</w:t>
            </w: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1,582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2,168</w:t>
            </w:r>
          </w:p>
        </w:tc>
        <w:tc>
          <w:tcPr>
            <w:tcW w:w="0" w:type="dxa"/>
            <w:vAlign w:val="bottom"/>
          </w:tcPr>
          <w:p>
            <w:pPr>
              <w:spacing w:after="0"/>
              <w:rPr>
                <w:sz w:val="1"/>
                <w:szCs w:val="1"/>
                <w:color w:val="auto"/>
              </w:rPr>
            </w:pPr>
          </w:p>
        </w:tc>
      </w:tr>
      <w:tr>
        <w:trPr>
          <w:trHeight w:val="186"/>
        </w:trPr>
        <w:tc>
          <w:tcPr>
            <w:tcW w:w="806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2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4,588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5,037</w:t>
            </w:r>
          </w:p>
        </w:tc>
        <w:tc>
          <w:tcPr>
            <w:tcW w:w="0" w:type="dxa"/>
            <w:vAlign w:val="bottom"/>
          </w:tcPr>
          <w:p>
            <w:pPr>
              <w:spacing w:after="0"/>
              <w:rPr>
                <w:sz w:val="1"/>
                <w:szCs w:val="1"/>
                <w:color w:val="auto"/>
              </w:rPr>
            </w:pPr>
          </w:p>
        </w:tc>
      </w:tr>
      <w:tr>
        <w:trPr>
          <w:trHeight w:val="18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contract assets</w:t>
            </w: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2,757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3,033</w:t>
            </w:r>
          </w:p>
        </w:tc>
        <w:tc>
          <w:tcPr>
            <w:tcW w:w="0" w:type="dxa"/>
            <w:vAlign w:val="bottom"/>
          </w:tcPr>
          <w:p>
            <w:pPr>
              <w:spacing w:after="0"/>
              <w:rPr>
                <w:sz w:val="1"/>
                <w:szCs w:val="1"/>
                <w:color w:val="auto"/>
              </w:rPr>
            </w:pPr>
          </w:p>
        </w:tc>
      </w:tr>
      <w:tr>
        <w:trPr>
          <w:trHeight w:val="186"/>
        </w:trPr>
        <w:tc>
          <w:tcPr>
            <w:tcW w:w="8060" w:type="dxa"/>
            <w:vAlign w:val="bottom"/>
          </w:tcPr>
          <w:p>
            <w:pPr>
              <w:ind w:left="20"/>
              <w:spacing w:after="0"/>
              <w:rPr>
                <w:sz w:val="20"/>
                <w:szCs w:val="20"/>
                <w:color w:val="auto"/>
              </w:rPr>
            </w:pPr>
            <w:r>
              <w:rPr>
                <w:rFonts w:ascii="Arial" w:cs="Arial" w:eastAsia="Arial" w:hAnsi="Arial"/>
                <w:sz w:val="14"/>
                <w:szCs w:val="14"/>
                <w:color w:val="auto"/>
              </w:rPr>
              <w:t>Deferred income tax asset</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191,281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200,530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48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0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12,194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20,449</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compensation and employee-related expenses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7,621</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Accrued other</w:t>
            </w:r>
          </w:p>
        </w:tc>
        <w:tc>
          <w:tcPr>
            <w:tcW w:w="20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3,605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4,234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product warranty costs</w:t>
            </w: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86"/>
        </w:trPr>
        <w:tc>
          <w:tcPr>
            <w:tcW w:w="8060" w:type="dxa"/>
            <w:vAlign w:val="bottom"/>
          </w:tcPr>
          <w:p>
            <w:pPr>
              <w:ind w:left="360"/>
              <w:spacing w:after="0"/>
              <w:rPr>
                <w:sz w:val="20"/>
                <w:szCs w:val="20"/>
                <w:color w:val="auto"/>
              </w:rPr>
            </w:pPr>
            <w:r>
              <w:rPr>
                <w:rFonts w:ascii="Arial" w:cs="Arial" w:eastAsia="Arial" w:hAnsi="Arial"/>
                <w:sz w:val="14"/>
                <w:szCs w:val="14"/>
                <w:color w:val="auto"/>
              </w:rPr>
              <w:t>Contract liabilities</w:t>
            </w:r>
          </w:p>
        </w:tc>
        <w:tc>
          <w:tcPr>
            <w:tcW w:w="2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3,310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3,108</w:t>
            </w:r>
          </w:p>
        </w:tc>
        <w:tc>
          <w:tcPr>
            <w:tcW w:w="0" w:type="dxa"/>
            <w:vAlign w:val="bottom"/>
          </w:tcPr>
          <w:p>
            <w:pPr>
              <w:spacing w:after="0"/>
              <w:rPr>
                <w:sz w:val="1"/>
                <w:szCs w:val="1"/>
                <w:color w:val="auto"/>
              </w:rPr>
            </w:pPr>
          </w:p>
        </w:tc>
      </w:tr>
      <w:tr>
        <w:trPr>
          <w:trHeight w:val="186"/>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Current operating lease liability</w:t>
            </w: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1,207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186"/>
        </w:trPr>
        <w:tc>
          <w:tcPr>
            <w:tcW w:w="8060" w:type="dxa"/>
            <w:vAlign w:val="bottom"/>
          </w:tcPr>
          <w:p>
            <w:pPr>
              <w:ind w:left="360"/>
              <w:spacing w:after="0"/>
              <w:rPr>
                <w:sz w:val="20"/>
                <w:szCs w:val="20"/>
                <w:color w:val="auto"/>
              </w:rPr>
            </w:pPr>
            <w:r>
              <w:rPr>
                <w:rFonts w:ascii="Arial" w:cs="Arial" w:eastAsia="Arial" w:hAnsi="Arial"/>
                <w:sz w:val="14"/>
                <w:szCs w:val="14"/>
                <w:color w:val="auto"/>
              </w:rPr>
              <w:t>Liability for uncertain tax positions</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25,929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38,868</w:t>
            </w: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Long-term operating lease liability</w:t>
            </w:r>
          </w:p>
        </w:tc>
        <w:tc>
          <w:tcPr>
            <w:tcW w:w="20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contract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4,220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4,315</w:t>
            </w:r>
          </w:p>
        </w:tc>
        <w:tc>
          <w:tcPr>
            <w:tcW w:w="0" w:type="dxa"/>
            <w:vAlign w:val="bottom"/>
          </w:tcPr>
          <w:p>
            <w:pPr>
              <w:spacing w:after="0"/>
              <w:rPr>
                <w:sz w:val="1"/>
                <w:szCs w:val="1"/>
                <w:color w:val="auto"/>
              </w:rPr>
            </w:pPr>
          </w:p>
        </w:tc>
      </w:tr>
      <w:tr>
        <w:trPr>
          <w:trHeight w:val="186"/>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income tax liability</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4"/>
        </w:trPr>
        <w:tc>
          <w:tcPr>
            <w:tcW w:w="80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30,577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43,874</w:t>
            </w:r>
          </w:p>
        </w:tc>
        <w:tc>
          <w:tcPr>
            <w:tcW w:w="0" w:type="dxa"/>
            <w:vAlign w:val="bottom"/>
          </w:tcPr>
          <w:p>
            <w:pPr>
              <w:spacing w:after="0"/>
              <w:rPr>
                <w:sz w:val="1"/>
                <w:szCs w:val="1"/>
                <w:color w:val="auto"/>
              </w:rPr>
            </w:pPr>
          </w:p>
        </w:tc>
      </w:tr>
      <w:tr>
        <w:trPr>
          <w:trHeight w:val="177"/>
        </w:trPr>
        <w:tc>
          <w:tcPr>
            <w:tcW w:w="8060" w:type="dxa"/>
            <w:vAlign w:val="bottom"/>
          </w:tcPr>
          <w:p>
            <w:pPr>
              <w:ind w:left="20"/>
              <w:spacing w:after="0"/>
              <w:rPr>
                <w:sz w:val="20"/>
                <w:szCs w:val="20"/>
                <w:color w:val="auto"/>
              </w:rPr>
            </w:pPr>
            <w:r>
              <w:rPr>
                <w:rFonts w:ascii="Arial" w:cs="Arial" w:eastAsia="Arial" w:hAnsi="Arial"/>
                <w:sz w:val="14"/>
                <w:szCs w:val="14"/>
                <w:color w:val="auto"/>
              </w:rPr>
              <w:t>Commitments and contingencies (Notes 2, 10, and 15)</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Arial" w:cs="Arial" w:eastAsia="Arial" w:hAnsi="Arial"/>
                <w:sz w:val="14"/>
                <w:szCs w:val="14"/>
                <w:color w:val="auto"/>
              </w:rPr>
              <w:t>Preferred stock, $0.01 par value. Authorized 1,000,000 shares; none issued</w:t>
            </w:r>
          </w:p>
        </w:tc>
        <w:tc>
          <w:tcPr>
            <w:tcW w:w="20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06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w w:val="96"/>
              </w:rPr>
              <w:t>Common stock, $0.01 par value. Authorized 30,000,000 shares; 20,969,436 and 20,631,152 shares issued at June 30, 2023 and</w:t>
            </w: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60" w:type="dxa"/>
            <w:vAlign w:val="bottom"/>
            <w:shd w:val="clear" w:color="auto" w:fill="CCEEFF"/>
          </w:tcPr>
          <w:p>
            <w:pPr>
              <w:ind w:left="520"/>
              <w:spacing w:after="0" w:line="143" w:lineRule="exact"/>
              <w:rPr>
                <w:sz w:val="20"/>
                <w:szCs w:val="20"/>
                <w:color w:val="auto"/>
              </w:rPr>
            </w:pPr>
            <w:r>
              <w:rPr>
                <w:rFonts w:ascii="Arial" w:cs="Arial" w:eastAsia="Arial" w:hAnsi="Arial"/>
                <w:sz w:val="14"/>
                <w:szCs w:val="14"/>
                <w:color w:val="auto"/>
                <w:w w:val="94"/>
              </w:rPr>
              <w:t>December 31, 2022, respectively; and 19,513,327 and 19,198,458 shares outstanding at June 30, 2023 and December 31, 2022,</w:t>
            </w: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respectively</w:t>
            </w: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6"/>
        </w:trPr>
        <w:tc>
          <w:tcPr>
            <w:tcW w:w="806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163,690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160,475</w:t>
            </w:r>
          </w:p>
        </w:tc>
        <w:tc>
          <w:tcPr>
            <w:tcW w:w="0" w:type="dxa"/>
            <w:vAlign w:val="bottom"/>
          </w:tcPr>
          <w:p>
            <w:pPr>
              <w:spacing w:after="0"/>
              <w:rPr>
                <w:sz w:val="1"/>
                <w:szCs w:val="1"/>
                <w:color w:val="auto"/>
              </w:rPr>
            </w:pPr>
          </w:p>
        </w:tc>
      </w:tr>
      <w:tr>
        <w:trPr>
          <w:trHeight w:val="186"/>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Retained earnings</w:t>
            </w: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12,849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11,936</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(4,110)</w:t>
            </w:r>
          </w:p>
        </w:tc>
        <w:tc>
          <w:tcPr>
            <w:tcW w:w="0" w:type="dxa"/>
            <w:vAlign w:val="bottom"/>
          </w:tcPr>
          <w:p>
            <w:pPr>
              <w:spacing w:after="0"/>
              <w:rPr>
                <w:sz w:val="1"/>
                <w:szCs w:val="1"/>
                <w:color w:val="auto"/>
              </w:rPr>
            </w:pPr>
          </w:p>
        </w:tc>
      </w:tr>
      <w:tr>
        <w:trPr>
          <w:trHeight w:val="189"/>
        </w:trPr>
        <w:tc>
          <w:tcPr>
            <w:tcW w:w="8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172,794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168,507</w:t>
            </w:r>
          </w:p>
        </w:tc>
        <w:tc>
          <w:tcPr>
            <w:tcW w:w="0" w:type="dxa"/>
            <w:vAlign w:val="bottom"/>
          </w:tcPr>
          <w:p>
            <w:pPr>
              <w:spacing w:after="0"/>
              <w:rPr>
                <w:sz w:val="1"/>
                <w:szCs w:val="1"/>
                <w:color w:val="auto"/>
              </w:rPr>
            </w:pPr>
          </w:p>
        </w:tc>
      </w:tr>
      <w:tr>
        <w:trPr>
          <w:trHeight w:val="143"/>
        </w:trPr>
        <w:tc>
          <w:tcPr>
            <w:tcW w:w="8060" w:type="dxa"/>
            <w:vAlign w:val="bottom"/>
          </w:tcPr>
          <w:p>
            <w:pPr>
              <w:ind w:left="360"/>
              <w:spacing w:after="0" w:line="143" w:lineRule="exact"/>
              <w:rPr>
                <w:sz w:val="20"/>
                <w:szCs w:val="20"/>
                <w:color w:val="auto"/>
              </w:rPr>
            </w:pPr>
            <w:r>
              <w:rPr>
                <w:rFonts w:ascii="Arial" w:cs="Arial" w:eastAsia="Arial" w:hAnsi="Arial"/>
                <w:sz w:val="14"/>
                <w:szCs w:val="14"/>
                <w:color w:val="auto"/>
              </w:rPr>
              <w:t>Less: treasury stock at cost, common stock, 1,456,109 and 1,432,694 shares as of June 30, 2023 and December 31, 2022,</w:t>
            </w: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06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(11,851)</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1120"/>
              <w:spacing w:after="0"/>
              <w:rPr>
                <w:sz w:val="20"/>
                <w:szCs w:val="20"/>
                <w:color w:val="auto"/>
              </w:rPr>
            </w:pPr>
            <w:r>
              <w:rPr>
                <w:rFonts w:ascii="Arial" w:cs="Arial" w:eastAsia="Arial" w:hAnsi="Arial"/>
                <w:sz w:val="14"/>
                <w:szCs w:val="14"/>
                <w:b w:val="1"/>
                <w:bCs w:val="1"/>
                <w:color w:val="auto"/>
              </w:rPr>
              <w:t>Total stockholders’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160,704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156,656</w:t>
            </w:r>
          </w:p>
        </w:tc>
        <w:tc>
          <w:tcPr>
            <w:tcW w:w="0" w:type="dxa"/>
            <w:vAlign w:val="bottom"/>
          </w:tcPr>
          <w:p>
            <w:pPr>
              <w:spacing w:after="0"/>
              <w:rPr>
                <w:sz w:val="1"/>
                <w:szCs w:val="1"/>
                <w:color w:val="auto"/>
              </w:rPr>
            </w:pPr>
          </w:p>
        </w:tc>
      </w:tr>
      <w:tr>
        <w:trPr>
          <w:trHeight w:val="196"/>
        </w:trPr>
        <w:tc>
          <w:tcPr>
            <w:tcW w:w="8060" w:type="dxa"/>
            <w:vAlign w:val="bottom"/>
          </w:tcPr>
          <w:p>
            <w:pPr>
              <w:ind w:left="1120"/>
              <w:spacing w:after="0"/>
              <w:rPr>
                <w:sz w:val="20"/>
                <w:szCs w:val="20"/>
                <w:color w:val="auto"/>
              </w:rPr>
            </w:pPr>
            <w:r>
              <w:rPr>
                <w:rFonts w:ascii="Arial" w:cs="Arial" w:eastAsia="Arial" w:hAnsi="Arial"/>
                <w:sz w:val="14"/>
                <w:szCs w:val="14"/>
                <w:b w:val="1"/>
                <w:bCs w:val="1"/>
                <w:color w:val="auto"/>
              </w:rPr>
              <w:t>Total liabilities and stockholders’ equity</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191,281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200,530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4"/>
          <w:szCs w:val="14"/>
          <w:b w:val="1"/>
          <w:bCs w:val="1"/>
          <w:color w:val="auto"/>
        </w:rPr>
        <w:t>KVH INDUSTRIES, INC. AND SUBSIDIARIES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earnings per share amounts,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r>
      <w:tr>
        <w:trPr>
          <w:trHeight w:val="26"/>
        </w:trPr>
        <w:tc>
          <w:tcPr>
            <w:tcW w:w="6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9"/>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5,425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6,620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10,374</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13,183</w:t>
            </w:r>
          </w:p>
        </w:tc>
      </w:tr>
      <w:tr>
        <w:trPr>
          <w:trHeight w:val="229"/>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54,521</w:t>
            </w:r>
          </w:p>
        </w:tc>
      </w:tr>
      <w:tr>
        <w:trPr>
          <w:trHeight w:val="237"/>
        </w:trPr>
        <w:tc>
          <w:tcPr>
            <w:tcW w:w="64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67,704</w:t>
            </w: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7"/>
        </w:trPr>
        <w:tc>
          <w:tcPr>
            <w:tcW w:w="6460" w:type="dxa"/>
            <w:vAlign w:val="bottom"/>
          </w:tcPr>
          <w:p>
            <w:pPr>
              <w:ind w:left="360"/>
              <w:spacing w:after="0"/>
              <w:rPr>
                <w:sz w:val="20"/>
                <w:szCs w:val="20"/>
                <w:color w:val="auto"/>
              </w:rPr>
            </w:pPr>
            <w:r>
              <w:rPr>
                <w:rFonts w:ascii="Arial" w:cs="Arial" w:eastAsia="Arial" w:hAnsi="Arial"/>
                <w:sz w:val="18"/>
                <w:szCs w:val="18"/>
                <w:color w:val="auto"/>
              </w:rPr>
              <w:t>Costs of product sales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10,616</w:t>
            </w:r>
          </w:p>
        </w:tc>
      </w:tr>
      <w:tr>
        <w:trPr>
          <w:trHeight w:val="23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of service sales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30,126</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5,635</w:t>
            </w:r>
          </w:p>
        </w:tc>
      </w:tr>
      <w:tr>
        <w:trPr>
          <w:trHeight w:val="243"/>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and support</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13,973</w:t>
            </w:r>
          </w:p>
        </w:tc>
      </w:tr>
      <w:tr>
        <w:trPr>
          <w:trHeight w:val="223"/>
        </w:trPr>
        <w:tc>
          <w:tcPr>
            <w:tcW w:w="6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72,995</w:t>
            </w:r>
          </w:p>
        </w:tc>
      </w:tr>
      <w:tr>
        <w:trPr>
          <w:trHeight w:val="230"/>
        </w:trPr>
        <w:tc>
          <w:tcPr>
            <w:tcW w:w="6460" w:type="dxa"/>
            <w:vAlign w:val="bottom"/>
          </w:tcPr>
          <w:p>
            <w:pPr>
              <w:ind w:left="680"/>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(5,291)</w:t>
            </w:r>
          </w:p>
        </w:tc>
      </w:tr>
      <w:tr>
        <w:trPr>
          <w:trHeight w:val="23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23"/>
        </w:trPr>
        <w:tc>
          <w:tcPr>
            <w:tcW w:w="6460" w:type="dxa"/>
            <w:vAlign w:val="bottom"/>
          </w:tcPr>
          <w:p>
            <w:pPr>
              <w:ind w:left="680"/>
              <w:spacing w:after="0"/>
              <w:rPr>
                <w:sz w:val="20"/>
                <w:szCs w:val="20"/>
                <w:color w:val="auto"/>
              </w:rPr>
            </w:pPr>
            <w:r>
              <w:rPr>
                <w:rFonts w:ascii="Arial" w:cs="Arial" w:eastAsia="Arial" w:hAnsi="Arial"/>
                <w:sz w:val="18"/>
                <w:szCs w:val="18"/>
                <w:color w:val="auto"/>
              </w:rPr>
              <w:t>Income (loss) from continuing operations before income tax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(3,892)</w:t>
            </w:r>
          </w:p>
        </w:tc>
      </w:tr>
      <w:tr>
        <w:trPr>
          <w:trHeight w:val="23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913</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(4,456)</w:t>
            </w:r>
          </w:p>
        </w:tc>
      </w:tr>
      <w:tr>
        <w:trPr>
          <w:trHeight w:val="23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discontinued operations, net of tax</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(6,136)</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Net income (loss) from continuing operations per common share</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4"/>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(0.24)</w:t>
            </w:r>
          </w:p>
        </w:tc>
      </w:tr>
      <w:tr>
        <w:trPr>
          <w:trHeight w:val="20"/>
        </w:trPr>
        <w:tc>
          <w:tcPr>
            <w:tcW w:w="6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4"/>
        </w:trPr>
        <w:tc>
          <w:tcPr>
            <w:tcW w:w="646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(0.01)</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(0.24)</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Net loss from discontinued operations per common share</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4"/>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r>
      <w:tr>
        <w:trPr>
          <w:trHeight w:val="20"/>
        </w:trPr>
        <w:tc>
          <w:tcPr>
            <w:tcW w:w="6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3"/>
        </w:trPr>
        <w:tc>
          <w:tcPr>
            <w:tcW w:w="646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(0.09)</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6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common share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3"/>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r>
      <w:tr>
        <w:trPr>
          <w:trHeight w:val="20"/>
        </w:trPr>
        <w:tc>
          <w:tcPr>
            <w:tcW w:w="6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4"/>
        </w:trPr>
        <w:tc>
          <w:tcPr>
            <w:tcW w:w="646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(0.08)</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(0.33)</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6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5"/>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18,507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19,275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18,564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19,161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18,507</w:t>
            </w:r>
          </w:p>
        </w:tc>
      </w:tr>
      <w:tr>
        <w:trPr>
          <w:trHeight w:val="21"/>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4"/>
          <w:szCs w:val="14"/>
          <w:b w:val="1"/>
          <w:bCs w:val="1"/>
          <w:color w:val="auto"/>
        </w:rPr>
        <w:t>KVH INDUSTRIES, INC.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COMPREHENSIVE INCOME (LOSS)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300" w:type="dxa"/>
            <w:vAlign w:val="bottom"/>
            <w:gridSpan w:val="5"/>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r>
      <w:tr>
        <w:trPr>
          <w:trHeight w:val="26"/>
        </w:trPr>
        <w:tc>
          <w:tcPr>
            <w:tcW w:w="64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9"/>
        </w:trPr>
        <w:tc>
          <w:tcPr>
            <w:tcW w:w="64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gain on available-for-sale securities</w:t>
            </w:r>
          </w:p>
        </w:tc>
        <w:tc>
          <w:tcPr>
            <w:tcW w:w="7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r>
      <w:tr>
        <w:trPr>
          <w:trHeight w:val="223"/>
        </w:trPr>
        <w:tc>
          <w:tcPr>
            <w:tcW w:w="64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Other comprehensive income (loss), net of tax</w:t>
            </w:r>
            <w:r>
              <w:rPr>
                <w:rFonts w:ascii="Arial" w:cs="Arial" w:eastAsia="Arial" w:hAnsi="Arial"/>
                <w:sz w:val="23"/>
                <w:szCs w:val="23"/>
                <w:color w:val="auto"/>
                <w:vertAlign w:val="superscript"/>
              </w:rPr>
              <w:t>(1)</w:t>
            </w: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999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(1,863)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(6,748)</w:t>
            </w:r>
          </w:p>
        </w:tc>
      </w:tr>
      <w:tr>
        <w:trPr>
          <w:trHeight w:val="21"/>
        </w:trPr>
        <w:tc>
          <w:tcPr>
            <w:tcW w:w="6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Tax impact was nominal for all periods.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KVH INDUSTRIES,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1920" w:type="dxa"/>
            <w:vAlign w:val="bottom"/>
            <w:gridSpan w:val="4"/>
            <w:vMerge w:val="restart"/>
          </w:tcPr>
          <w:p>
            <w:pPr>
              <w:jc w:val="right"/>
              <w:ind w:right="469"/>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960" w:type="dxa"/>
            <w:vAlign w:val="bottom"/>
            <w:gridSpan w:val="4"/>
            <w:vMerge w:val="restart"/>
          </w:tcPr>
          <w:p>
            <w:pPr>
              <w:jc w:val="right"/>
              <w:ind w:right="489"/>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ind w:right="71"/>
              <w:spacing w:after="0" w:line="126"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0"/>
                <w:szCs w:val="10"/>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6"/>
              </w:rPr>
              <w:t>Retained earnings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2"/>
              </w:rPr>
              <w:t>Other</w:t>
            </w:r>
          </w:p>
        </w:tc>
        <w:tc>
          <w:tcPr>
            <w:tcW w:w="19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71"/>
              <w:spacing w:after="0" w:line="126"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center"/>
              <w:ind w:right="51"/>
              <w:spacing w:after="0" w:line="122"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vMerge w:val="restart"/>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ind w:right="71"/>
              <w:spacing w:after="0" w:line="122"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45"/>
        </w:trPr>
        <w:tc>
          <w:tcPr>
            <w:tcW w:w="2440" w:type="dxa"/>
            <w:vAlign w:val="bottom"/>
          </w:tcPr>
          <w:p>
            <w:pPr>
              <w:spacing w:after="0"/>
              <w:rPr>
                <w:sz w:val="3"/>
                <w:szCs w:val="3"/>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24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4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51"/>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5"/>
        </w:trPr>
        <w:tc>
          <w:tcPr>
            <w:tcW w:w="2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20,826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161,779</w:t>
            </w:r>
          </w:p>
        </w:tc>
        <w:tc>
          <w:tcPr>
            <w:tcW w:w="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11,924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(4,029)</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(12,090)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157,792</w:t>
            </w:r>
          </w:p>
        </w:tc>
        <w:tc>
          <w:tcPr>
            <w:tcW w:w="0" w:type="dxa"/>
            <w:vAlign w:val="bottom"/>
          </w:tcPr>
          <w:p>
            <w:pPr>
              <w:spacing w:after="0"/>
              <w:rPr>
                <w:sz w:val="1"/>
                <w:szCs w:val="1"/>
                <w:color w:val="auto"/>
              </w:rPr>
            </w:pPr>
          </w:p>
        </w:tc>
      </w:tr>
      <w:tr>
        <w:trPr>
          <w:trHeight w:val="177"/>
        </w:trPr>
        <w:tc>
          <w:tcPr>
            <w:tcW w:w="2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578</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47"/>
        </w:trPr>
        <w:tc>
          <w:tcPr>
            <w:tcW w:w="24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3"/>
              </w:rPr>
              <w:t>Exercise of stock options and issuance of</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restricted stock awards, net of forfeitures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202"/>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20,969</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163,690</w:t>
            </w:r>
          </w:p>
        </w:tc>
        <w:tc>
          <w:tcPr>
            <w:tcW w:w="48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12,849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(3,955)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(1,456)</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(12,090)</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160,704</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440" w:type="dxa"/>
            <w:vAlign w:val="bottom"/>
          </w:tcPr>
          <w:p>
            <w:pPr>
              <w:spacing w:after="0"/>
              <w:rPr>
                <w:sz w:val="24"/>
                <w:szCs w:val="24"/>
                <w:color w:val="auto"/>
              </w:rPr>
            </w:pPr>
          </w:p>
        </w:tc>
        <w:tc>
          <w:tcPr>
            <w:tcW w:w="1920" w:type="dxa"/>
            <w:vAlign w:val="bottom"/>
            <w:gridSpan w:val="4"/>
            <w:vMerge w:val="restart"/>
          </w:tcPr>
          <w:p>
            <w:pPr>
              <w:jc w:val="right"/>
              <w:ind w:right="469"/>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center"/>
              <w:ind w:right="71"/>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960" w:type="dxa"/>
            <w:vAlign w:val="bottom"/>
            <w:gridSpan w:val="4"/>
            <w:vMerge w:val="restart"/>
          </w:tcPr>
          <w:p>
            <w:pPr>
              <w:jc w:val="right"/>
              <w:ind w:right="489"/>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restart"/>
          </w:tcPr>
          <w:p>
            <w:pPr>
              <w:jc w:val="center"/>
              <w:ind w:right="7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6"/>
              </w:rPr>
              <w:t>Retained earnings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9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center"/>
              <w:ind w:right="51"/>
              <w:spacing w:after="0" w:line="131"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restart"/>
          </w:tcPr>
          <w:p>
            <w:pPr>
              <w:jc w:val="center"/>
              <w:ind w:right="220"/>
              <w:spacing w:after="0" w:line="131" w:lineRule="exact"/>
              <w:rPr>
                <w:sz w:val="20"/>
                <w:szCs w:val="20"/>
                <w:color w:val="auto"/>
              </w:rPr>
            </w:pPr>
            <w:r>
              <w:rPr>
                <w:rFonts w:ascii="Arial" w:cs="Arial" w:eastAsia="Arial" w:hAnsi="Arial"/>
                <w:sz w:val="13"/>
                <w:szCs w:val="13"/>
                <w:b w:val="1"/>
                <w:bCs w:val="1"/>
                <w:color w:val="auto"/>
                <w:w w:val="86"/>
              </w:rPr>
              <w:t>Comprehensive</w:t>
            </w: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ind w:right="71"/>
              <w:spacing w:after="0" w:line="131"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58"/>
        </w:trPr>
        <w:tc>
          <w:tcPr>
            <w:tcW w:w="2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440" w:type="dxa"/>
            <w:vAlign w:val="bottom"/>
          </w:tcPr>
          <w:p>
            <w:pPr>
              <w:spacing w:after="0"/>
              <w:rPr>
                <w:sz w:val="15"/>
                <w:szCs w:val="15"/>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160,475</w:t>
            </w:r>
          </w:p>
        </w:tc>
        <w:tc>
          <w:tcPr>
            <w:tcW w:w="480" w:type="dxa"/>
            <w:vAlign w:val="bottom"/>
            <w:gridSpan w:val="2"/>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(4,110)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(1,433)</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156,656</w:t>
            </w:r>
          </w:p>
        </w:tc>
        <w:tc>
          <w:tcPr>
            <w:tcW w:w="0" w:type="dxa"/>
            <w:vAlign w:val="bottom"/>
          </w:tcPr>
          <w:p>
            <w:pPr>
              <w:spacing w:after="0"/>
              <w:rPr>
                <w:sz w:val="1"/>
                <w:szCs w:val="1"/>
                <w:color w:val="auto"/>
              </w:rPr>
            </w:pPr>
          </w:p>
        </w:tc>
      </w:tr>
      <w:tr>
        <w:trPr>
          <w:trHeight w:val="179"/>
        </w:trPr>
        <w:tc>
          <w:tcPr>
            <w:tcW w:w="2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86"/>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2"/>
        </w:trPr>
        <w:tc>
          <w:tcPr>
            <w:tcW w:w="24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874</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3"/>
        </w:trPr>
        <w:tc>
          <w:tcPr>
            <w:tcW w:w="2440" w:type="dxa"/>
            <w:vAlign w:val="bottom"/>
          </w:tcPr>
          <w:p>
            <w:pPr>
              <w:ind w:left="20"/>
              <w:spacing w:after="0" w:line="143" w:lineRule="exact"/>
              <w:rPr>
                <w:sz w:val="20"/>
                <w:szCs w:val="20"/>
                <w:color w:val="auto"/>
              </w:rPr>
            </w:pPr>
            <w:r>
              <w:rPr>
                <w:rFonts w:ascii="Arial" w:cs="Arial" w:eastAsia="Arial" w:hAnsi="Arial"/>
                <w:sz w:val="14"/>
                <w:szCs w:val="14"/>
                <w:color w:val="auto"/>
                <w:w w:val="93"/>
              </w:rPr>
              <w:t>Exercise of stock options and issuance of</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20"/>
              <w:spacing w:after="0"/>
              <w:rPr>
                <w:sz w:val="20"/>
                <w:szCs w:val="20"/>
                <w:color w:val="auto"/>
              </w:rPr>
            </w:pPr>
            <w:r>
              <w:rPr>
                <w:rFonts w:ascii="Arial" w:cs="Arial" w:eastAsia="Arial" w:hAnsi="Arial"/>
                <w:sz w:val="14"/>
                <w:szCs w:val="14"/>
                <w:color w:val="auto"/>
                <w:w w:val="95"/>
              </w:rPr>
              <w:t>restricted stock awards, net of forfeitures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2,341</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2,345</w:t>
            </w:r>
          </w:p>
        </w:tc>
        <w:tc>
          <w:tcPr>
            <w:tcW w:w="0" w:type="dxa"/>
            <w:vAlign w:val="bottom"/>
          </w:tcPr>
          <w:p>
            <w:pPr>
              <w:spacing w:after="0"/>
              <w:rPr>
                <w:sz w:val="1"/>
                <w:szCs w:val="1"/>
                <w:color w:val="auto"/>
              </w:rPr>
            </w:pPr>
          </w:p>
        </w:tc>
      </w:tr>
      <w:tr>
        <w:trPr>
          <w:trHeight w:val="22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163,690</w:t>
            </w:r>
          </w:p>
        </w:tc>
        <w:tc>
          <w:tcPr>
            <w:tcW w:w="480" w:type="dxa"/>
            <w:vAlign w:val="bottom"/>
            <w:gridSpan w:val="2"/>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(3,955)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(1,456)</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160,704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7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March 31,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20"/>
        <w:spacing w:after="0" w:line="325" w:lineRule="auto"/>
        <w:rPr>
          <w:sz w:val="20"/>
          <w:szCs w:val="20"/>
          <w:color w:val="auto"/>
        </w:rPr>
      </w:pPr>
      <w:r>
        <w:rPr>
          <w:rFonts w:ascii="Arial" w:cs="Arial" w:eastAsia="Arial" w:hAnsi="Arial"/>
          <w:sz w:val="12"/>
          <w:szCs w:val="12"/>
          <w:color w:val="auto"/>
        </w:rPr>
        <w:t>Exercise of stock options and issuance of restricted stock awards, net of forfeitures</w:t>
      </w:r>
    </w:p>
    <w:p>
      <w:pPr>
        <w:ind w:left="20"/>
        <w:spacing w:after="0"/>
        <w:rPr>
          <w:sz w:val="20"/>
          <w:szCs w:val="20"/>
          <w:color w:val="auto"/>
        </w:rPr>
      </w:pPr>
      <w:r>
        <w:rPr>
          <w:rFonts w:ascii="Arial" w:cs="Arial" w:eastAsia="Arial" w:hAnsi="Arial"/>
          <w:sz w:val="14"/>
          <w:szCs w:val="14"/>
          <w:b w:val="1"/>
          <w:bCs w:val="1"/>
          <w:color w:val="auto"/>
        </w:rPr>
        <w:t>Balance at June 30, 2022</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920" w:type="dxa"/>
            <w:vAlign w:val="bottom"/>
            <w:gridSpan w:val="4"/>
          </w:tcPr>
          <w:p>
            <w:pPr>
              <w:jc w:val="right"/>
              <w:ind w:right="47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3"/>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940" w:type="dxa"/>
            <w:vAlign w:val="bottom"/>
            <w:gridSpan w:val="4"/>
          </w:tcPr>
          <w:p>
            <w:pPr>
              <w:ind w:left="56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73"/>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32"/>
        </w:trPr>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ind w:right="53"/>
              <w:spacing w:after="0" w:line="126"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vMerge w:val="restart"/>
          </w:tcPr>
          <w:p>
            <w:pPr>
              <w:jc w:val="center"/>
              <w:ind w:right="92"/>
              <w:spacing w:after="0" w:line="126"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restart"/>
          </w:tcPr>
          <w:p>
            <w:pPr>
              <w:jc w:val="center"/>
              <w:ind w:right="280"/>
              <w:spacing w:after="0" w:line="126" w:lineRule="exact"/>
              <w:rPr>
                <w:sz w:val="20"/>
                <w:szCs w:val="20"/>
                <w:color w:val="auto"/>
              </w:rPr>
            </w:pPr>
            <w:r>
              <w:rPr>
                <w:rFonts w:ascii="Arial" w:cs="Arial" w:eastAsia="Arial" w:hAnsi="Arial"/>
                <w:sz w:val="13"/>
                <w:szCs w:val="13"/>
                <w:b w:val="1"/>
                <w:bCs w:val="1"/>
                <w:color w:val="auto"/>
                <w:w w:val="92"/>
              </w:rPr>
              <w:t>Other</w:t>
            </w: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ind w:right="53"/>
              <w:spacing w:after="0" w:line="126"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74"/>
        </w:trPr>
        <w:tc>
          <w:tcPr>
            <w:tcW w:w="900" w:type="dxa"/>
            <w:vAlign w:val="bottom"/>
            <w:vMerge w:val="restart"/>
          </w:tcPr>
          <w:p>
            <w:pPr>
              <w:jc w:val="right"/>
              <w:ind w:right="192"/>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92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3"/>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2"/>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Comprehensive Loss</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3"/>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5"/>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20,328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157,142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(16,857)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(3,602)</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w w:val="99"/>
              </w:rPr>
              <w:t>(1,433)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w w:val="91"/>
              </w:rPr>
              <w:t>(11,851)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125,035</w:t>
            </w:r>
          </w:p>
        </w:tc>
        <w:tc>
          <w:tcPr>
            <w:tcW w:w="0" w:type="dxa"/>
            <w:vAlign w:val="bottom"/>
          </w:tcPr>
          <w:p>
            <w:pPr>
              <w:spacing w:after="0"/>
              <w:rPr>
                <w:sz w:val="1"/>
                <w:szCs w:val="1"/>
                <w:color w:val="auto"/>
              </w:rPr>
            </w:pPr>
          </w:p>
        </w:tc>
      </w:tr>
      <w:tr>
        <w:trPr>
          <w:trHeight w:val="182"/>
        </w:trPr>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197"/>
        </w:trPr>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7"/>
                <w:szCs w:val="17"/>
                <w:color w:val="auto"/>
              </w:rPr>
            </w:pP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89"/>
        </w:trPr>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357"/>
        </w:trPr>
        <w:tc>
          <w:tcPr>
            <w:tcW w:w="90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7"/>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20,503</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157,996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(18,301)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(4,021)</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w w:val="99"/>
              </w:rPr>
              <w:t>(1,433)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w w:val="91"/>
              </w:rPr>
              <w:t>(11,851)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124,028</w:t>
            </w:r>
          </w:p>
        </w:tc>
        <w:tc>
          <w:tcPr>
            <w:tcW w:w="0" w:type="dxa"/>
            <w:vAlign w:val="bottom"/>
          </w:tcPr>
          <w:p>
            <w:pPr>
              <w:spacing w:after="0"/>
              <w:rPr>
                <w:sz w:val="1"/>
                <w:szCs w:val="1"/>
                <w:color w:val="auto"/>
              </w:rPr>
            </w:pPr>
          </w:p>
        </w:tc>
      </w:tr>
      <w:tr>
        <w:trPr>
          <w:trHeight w:val="22"/>
        </w:trPr>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1920" w:type="dxa"/>
            <w:vAlign w:val="bottom"/>
            <w:gridSpan w:val="4"/>
          </w:tcPr>
          <w:p>
            <w:pPr>
              <w:jc w:val="right"/>
              <w:ind w:right="47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center"/>
              <w:ind w:right="53"/>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940" w:type="dxa"/>
            <w:vAlign w:val="bottom"/>
            <w:gridSpan w:val="4"/>
          </w:tcPr>
          <w:p>
            <w:pPr>
              <w:ind w:left="56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73"/>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40"/>
        </w:trPr>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vMerge w:val="restart"/>
          </w:tcPr>
          <w:p>
            <w:pPr>
              <w:jc w:val="center"/>
              <w:ind w:right="53"/>
              <w:spacing w:after="0" w:line="122"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vMerge w:val="restart"/>
          </w:tcPr>
          <w:p>
            <w:pPr>
              <w:jc w:val="center"/>
              <w:ind w:right="92"/>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vMerge w:val="restart"/>
          </w:tcPr>
          <w:p>
            <w:pPr>
              <w:jc w:val="center"/>
              <w:ind w:right="280"/>
              <w:spacing w:after="0" w:line="122" w:lineRule="exact"/>
              <w:rPr>
                <w:sz w:val="20"/>
                <w:szCs w:val="20"/>
                <w:color w:val="auto"/>
              </w:rPr>
            </w:pPr>
            <w:r>
              <w:rPr>
                <w:rFonts w:ascii="Arial" w:cs="Arial" w:eastAsia="Arial" w:hAnsi="Arial"/>
                <w:sz w:val="13"/>
                <w:szCs w:val="13"/>
                <w:b w:val="1"/>
                <w:bCs w:val="1"/>
                <w:color w:val="auto"/>
                <w:w w:val="92"/>
              </w:rPr>
              <w:t>Other</w:t>
            </w: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ind w:right="53"/>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61"/>
        </w:trPr>
        <w:tc>
          <w:tcPr>
            <w:tcW w:w="900" w:type="dxa"/>
            <w:vAlign w:val="bottom"/>
            <w:vMerge w:val="restart"/>
          </w:tcPr>
          <w:p>
            <w:pPr>
              <w:jc w:val="right"/>
              <w:ind w:right="192"/>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2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3"/>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2"/>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Comprehensive Loss</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3"/>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-1466850</wp:posOffset>
            </wp:positionV>
            <wp:extent cx="711517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-1200785</wp:posOffset>
            </wp:positionV>
            <wp:extent cx="7115175"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-952500</wp:posOffset>
            </wp:positionV>
            <wp:extent cx="711517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21463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2400" w:space="40"/>
            <w:col w:w="8760"/>
          </w:cols>
          <w:pgMar w:left="340" w:top="765" w:right="35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156,199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w w:val="99"/>
              </w:rPr>
              <w:t>(1,433)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4"/>
                <w:szCs w:val="14"/>
                <w:b w:val="1"/>
                <w:bCs w:val="1"/>
                <w:color w:val="auto"/>
                <w:w w:val="91"/>
              </w:rPr>
              <w:t>(11,851)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128,977</w:t>
            </w:r>
          </w:p>
        </w:tc>
        <w:tc>
          <w:tcPr>
            <w:tcW w:w="0" w:type="dxa"/>
            <w:vAlign w:val="bottom"/>
          </w:tcPr>
          <w:p>
            <w:pPr>
              <w:spacing w:after="0"/>
              <w:rPr>
                <w:sz w:val="1"/>
                <w:szCs w:val="1"/>
                <w:color w:val="auto"/>
              </w:rPr>
            </w:pPr>
          </w:p>
        </w:tc>
      </w:tr>
      <w:tr>
        <w:trPr>
          <w:trHeight w:val="177"/>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(6,136)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(6,136)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147"/>
        </w:trPr>
        <w:tc>
          <w:tcPr>
            <w:tcW w:w="24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Issuance of common stock under</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line="135" w:lineRule="exact"/>
              <w:rPr>
                <w:sz w:val="20"/>
                <w:szCs w:val="20"/>
                <w:color w:val="auto"/>
              </w:rPr>
            </w:pPr>
            <w:r>
              <w:rPr>
                <w:rFonts w:ascii="Arial" w:cs="Arial" w:eastAsia="Arial" w:hAnsi="Arial"/>
                <w:sz w:val="14"/>
                <w:szCs w:val="14"/>
                <w:color w:val="auto"/>
                <w:w w:val="93"/>
              </w:rPr>
              <w:t>Exercise of stock options and issuance of</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2"/>
        </w:trPr>
        <w:tc>
          <w:tcPr>
            <w:tcW w:w="2440" w:type="dxa"/>
            <w:vAlign w:val="bottom"/>
          </w:tcPr>
          <w:p>
            <w:pPr>
              <w:ind w:left="20"/>
              <w:spacing w:after="0"/>
              <w:rPr>
                <w:sz w:val="20"/>
                <w:szCs w:val="20"/>
                <w:color w:val="auto"/>
              </w:rPr>
            </w:pPr>
            <w:r>
              <w:rPr>
                <w:rFonts w:ascii="Arial" w:cs="Arial" w:eastAsia="Arial" w:hAnsi="Arial"/>
                <w:sz w:val="14"/>
                <w:szCs w:val="14"/>
                <w:color w:val="auto"/>
                <w:w w:val="95"/>
              </w:rPr>
              <w:t>restricted stock awards, net of forfeitures</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2"/>
              </w:rPr>
              <w:t>Taxes accrued for net share settlement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3"/>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20,503</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157,996</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(18,301)</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(4,021)</w:t>
            </w: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w w:val="99"/>
              </w:rPr>
              <w:t>(1,433)</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w w:val="91"/>
              </w:rPr>
              <w:t>(11,851)</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124,028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KVH INDUSTRIES,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ind w:left="4800"/>
              <w:spacing w:after="0"/>
              <w:rPr>
                <w:sz w:val="20"/>
                <w:szCs w:val="20"/>
                <w:color w:val="auto"/>
              </w:rPr>
            </w:pPr>
            <w:r>
              <w:rPr>
                <w:rFonts w:ascii="Arial" w:cs="Arial" w:eastAsia="Arial" w:hAnsi="Arial"/>
                <w:sz w:val="14"/>
                <w:szCs w:val="14"/>
                <w:b w:val="1"/>
                <w:bCs w:val="1"/>
                <w:color w:val="auto"/>
              </w:rPr>
              <w:t>(in thousands, unaudited)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2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913</w:t>
            </w:r>
          </w:p>
        </w:tc>
        <w:tc>
          <w:tcPr>
            <w:tcW w:w="6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(6,136)</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Provision for doubtful accounts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7,158</w:t>
            </w:r>
          </w:p>
        </w:tc>
        <w:tc>
          <w:tcPr>
            <w:tcW w:w="0" w:type="dxa"/>
            <w:vAlign w:val="bottom"/>
          </w:tcPr>
          <w:p>
            <w:pPr>
              <w:spacing w:after="0"/>
              <w:rPr>
                <w:sz w:val="1"/>
                <w:szCs w:val="1"/>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on disposals of fixed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Compensation expense related to stock-based awards and employee stock purchase plan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1,586</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Unrealized currency translation loss (gain)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Gain on sale of KVH Media Group Entertainment Limited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(6,371)</w:t>
            </w:r>
          </w:p>
        </w:tc>
        <w:tc>
          <w:tcPr>
            <w:tcW w:w="0" w:type="dxa"/>
            <w:vAlign w:val="bottom"/>
          </w:tcPr>
          <w:p>
            <w:pPr>
              <w:spacing w:after="0"/>
              <w:rPr>
                <w:sz w:val="1"/>
                <w:szCs w:val="1"/>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Prepaid expenses, other current assets, and current contract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non-current assets and non-current contract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(8,260)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liabilities and long-term contract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3"/>
        </w:trPr>
        <w:tc>
          <w:tcPr>
            <w:tcW w:w="8420" w:type="dxa"/>
            <w:vAlign w:val="bottom"/>
          </w:tcPr>
          <w:p>
            <w:pPr>
              <w:ind w:left="680"/>
              <w:spacing w:after="0"/>
              <w:rPr>
                <w:sz w:val="20"/>
                <w:szCs w:val="20"/>
                <w:color w:val="auto"/>
              </w:rPr>
            </w:pPr>
            <w:r>
              <w:rPr>
                <w:rFonts w:ascii="Arial" w:cs="Arial" w:eastAsia="Arial" w:hAnsi="Arial"/>
                <w:sz w:val="16"/>
                <w:szCs w:val="16"/>
                <w:color w:val="auto"/>
              </w:rPr>
              <w:t>Accrued compensation, product warranty and other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Net cash used in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(3,187)</w:t>
            </w:r>
          </w:p>
        </w:tc>
        <w:tc>
          <w:tcPr>
            <w:tcW w:w="6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(3,234)</w:t>
            </w:r>
          </w:p>
        </w:tc>
        <w:tc>
          <w:tcPr>
            <w:tcW w:w="0" w:type="dxa"/>
            <w:vAlign w:val="bottom"/>
          </w:tcPr>
          <w:p>
            <w:pPr>
              <w:spacing w:after="0"/>
              <w:rPr>
                <w:sz w:val="1"/>
                <w:szCs w:val="1"/>
                <w:color w:val="auto"/>
              </w:rPr>
            </w:pPr>
          </w:p>
        </w:tc>
      </w:tr>
      <w:tr>
        <w:trPr>
          <w:trHeight w:val="207"/>
        </w:trPr>
        <w:tc>
          <w:tcPr>
            <w:tcW w:w="84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(8,012)</w:t>
            </w:r>
          </w:p>
        </w:tc>
        <w:tc>
          <w:tcPr>
            <w:tcW w:w="0" w:type="dxa"/>
            <w:vAlign w:val="bottom"/>
          </w:tcPr>
          <w:p>
            <w:pPr>
              <w:spacing w:after="0"/>
              <w:rPr>
                <w:sz w:val="1"/>
                <w:szCs w:val="1"/>
                <w:color w:val="auto"/>
              </w:rPr>
            </w:pPr>
          </w:p>
        </w:tc>
      </w:tr>
      <w:tr>
        <w:trPr>
          <w:trHeight w:val="213"/>
        </w:trPr>
        <w:tc>
          <w:tcPr>
            <w:tcW w:w="8420" w:type="dxa"/>
            <w:vAlign w:val="bottom"/>
          </w:tcPr>
          <w:p>
            <w:pPr>
              <w:ind w:left="340"/>
              <w:spacing w:after="0"/>
              <w:rPr>
                <w:sz w:val="20"/>
                <w:szCs w:val="20"/>
                <w:color w:val="auto"/>
              </w:rPr>
            </w:pPr>
            <w:r>
              <w:rPr>
                <w:rFonts w:ascii="Arial" w:cs="Arial" w:eastAsia="Arial" w:hAnsi="Arial"/>
                <w:sz w:val="16"/>
                <w:szCs w:val="16"/>
                <w:color w:val="auto"/>
              </w:rPr>
              <w:t>Cash paid for acquisition of intangible asset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sale of KVH Media Group Entertainment Limited, net of cash sold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0" w:type="dxa"/>
            <w:vAlign w:val="bottom"/>
          </w:tcPr>
          <w:p>
            <w:pPr>
              <w:spacing w:after="0"/>
              <w:rPr>
                <w:sz w:val="1"/>
                <w:szCs w:val="1"/>
                <w:color w:val="auto"/>
              </w:rPr>
            </w:pPr>
          </w:p>
        </w:tc>
      </w:tr>
      <w:tr>
        <w:trPr>
          <w:trHeight w:val="213"/>
        </w:trPr>
        <w:tc>
          <w:tcPr>
            <w:tcW w:w="8420" w:type="dxa"/>
            <w:vAlign w:val="bottom"/>
          </w:tcPr>
          <w:p>
            <w:pPr>
              <w:ind w:left="34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(16,697)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Maturities and sales of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07"/>
        </w:trPr>
        <w:tc>
          <w:tcPr>
            <w:tcW w:w="8420" w:type="dxa"/>
            <w:vAlign w:val="bottom"/>
            <w:tcBorders>
              <w:bottom w:val="single" w:sz="8" w:color="CCEEFF"/>
            </w:tcBorders>
          </w:tcPr>
          <w:p>
            <w:pPr>
              <w:ind w:left="112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(6,042)</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2,328</w:t>
            </w:r>
          </w:p>
        </w:tc>
        <w:tc>
          <w:tcPr>
            <w:tcW w:w="0" w:type="dxa"/>
            <w:vAlign w:val="bottom"/>
          </w:tcPr>
          <w:p>
            <w:pPr>
              <w:spacing w:after="0"/>
              <w:rPr>
                <w:sz w:val="1"/>
                <w:szCs w:val="1"/>
                <w:color w:val="auto"/>
              </w:rPr>
            </w:pPr>
          </w:p>
        </w:tc>
      </w:tr>
      <w:tr>
        <w:trPr>
          <w:trHeight w:val="19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20" w:type="dxa"/>
            <w:vAlign w:val="bottom"/>
          </w:tcPr>
          <w:p>
            <w:pPr>
              <w:ind w:left="340"/>
              <w:spacing w:after="0"/>
              <w:rPr>
                <w:sz w:val="20"/>
                <w:szCs w:val="20"/>
                <w:color w:val="auto"/>
              </w:rPr>
            </w:pPr>
            <w:r>
              <w:rPr>
                <w:rFonts w:ascii="Arial" w:cs="Arial" w:eastAsia="Arial" w:hAnsi="Arial"/>
                <w:sz w:val="16"/>
                <w:szCs w:val="16"/>
                <w:color w:val="auto"/>
              </w:rPr>
              <w:t>Proceeds from stock options exercised and employee stock purchase plan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of treasury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20" w:type="dxa"/>
            <w:vAlign w:val="bottom"/>
          </w:tcPr>
          <w:p>
            <w:pPr>
              <w:ind w:left="340"/>
              <w:spacing w:after="0"/>
              <w:rPr>
                <w:sz w:val="20"/>
                <w:szCs w:val="20"/>
                <w:color w:val="auto"/>
              </w:rPr>
            </w:pPr>
            <w:r>
              <w:rPr>
                <w:rFonts w:ascii="Arial" w:cs="Arial" w:eastAsia="Arial" w:hAnsi="Arial"/>
                <w:sz w:val="16"/>
                <w:szCs w:val="16"/>
                <w:color w:val="auto"/>
              </w:rPr>
              <w:t>Payment of finance lease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Net cash provided by financing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2,106</w:t>
            </w:r>
          </w:p>
        </w:tc>
        <w:tc>
          <w:tcPr>
            <w:tcW w:w="6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w:t>
            </w:r>
          </w:p>
        </w:tc>
        <w:tc>
          <w:tcPr>
            <w:tcW w:w="0" w:type="dxa"/>
            <w:vAlign w:val="bottom"/>
          </w:tcPr>
          <w:p>
            <w:pPr>
              <w:spacing w:after="0"/>
              <w:rPr>
                <w:sz w:val="1"/>
                <w:szCs w:val="1"/>
                <w:color w:val="auto"/>
              </w:rPr>
            </w:pPr>
          </w:p>
        </w:tc>
      </w:tr>
      <w:tr>
        <w:trPr>
          <w:trHeight w:val="207"/>
        </w:trPr>
        <w:tc>
          <w:tcPr>
            <w:tcW w:w="8420" w:type="dxa"/>
            <w:vAlign w:val="bottom"/>
            <w:tcBorders>
              <w:top w:val="single" w:sz="8" w:color="CCEEFF"/>
            </w:tcBorders>
          </w:tcPr>
          <w:p>
            <w:pPr>
              <w:ind w:left="3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(7,048)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(981)</w:t>
            </w:r>
          </w:p>
        </w:tc>
        <w:tc>
          <w:tcPr>
            <w:tcW w:w="0" w:type="dxa"/>
            <w:vAlign w:val="bottom"/>
          </w:tcPr>
          <w:p>
            <w:pPr>
              <w:spacing w:after="0"/>
              <w:rPr>
                <w:sz w:val="1"/>
                <w:szCs w:val="1"/>
                <w:color w:val="auto"/>
              </w:rPr>
            </w:pPr>
          </w:p>
        </w:tc>
      </w:tr>
      <w:tr>
        <w:trPr>
          <w:trHeight w:val="216"/>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21,056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11,376</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14,008</w:t>
            </w:r>
          </w:p>
        </w:tc>
        <w:tc>
          <w:tcPr>
            <w:tcW w:w="6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10,395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accrued other and accounts payable related to property and equipment additions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20" w:type="dxa"/>
            <w:vAlign w:val="bottom"/>
          </w:tcPr>
          <w:p>
            <w:pPr>
              <w:ind w:left="340"/>
              <w:spacing w:after="0"/>
              <w:rPr>
                <w:sz w:val="20"/>
                <w:szCs w:val="20"/>
                <w:color w:val="auto"/>
              </w:rPr>
            </w:pPr>
            <w:r>
              <w:rPr>
                <w:rFonts w:ascii="Arial" w:cs="Arial" w:eastAsia="Arial" w:hAnsi="Arial"/>
                <w:sz w:val="16"/>
                <w:szCs w:val="16"/>
                <w:color w:val="auto"/>
              </w:rPr>
              <w:t>Taxes accrued for net share settlement of options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all amounts in thousands except per share amounts)</w:t>
      </w:r>
    </w:p>
    <w:p>
      <w:pPr>
        <w:spacing w:after="0" w:line="234"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KVH Industries, Inc. (together with its subsidiaries, the Company or KVH) designs, develops, manufactures and markets mobile connectivity products and services for the marine and land markets.</w:t>
      </w:r>
    </w:p>
    <w:p>
      <w:pPr>
        <w:spacing w:after="0" w:line="19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KVH’s satellite-only and hybrid products enable marine customers to receive data, Voice over Internet Protocol (VoIP), and value-added services via satellite, cellular, and shore-based Wi-Fi networks onboard commercial, leisure, and military/government vessels. In addition, the Company’s in-motion television terminals permit customers to receive live digital television via regional satellite services in marine vessels, recreational vehicles, buses and automobiles. KVH sells its products through an extensive international network of dealers and distributors. KVH also sells and leases products to service providers and end users.</w:t>
      </w:r>
    </w:p>
    <w:p>
      <w:pPr>
        <w:spacing w:after="0" w:line="21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KVH’s service sales represent primarily revenue earned from satellite Internet airtime services. KVH provides, for monthly fixed and per-usage fees, satellite connectivity encompassing broadband Internet and VoIP services, to its TracNet H-series and TracPhone V-HTS series customers via KVH’s global high-throughput satellite (HTS) network. Cellular airtime service increasingly supplements KVH’s satellite-only airtime revenue following the July 2022 launch of the KVH ONE hybrid network and TracNet H-series terminals. This product and service combination integrates global satellite service with KVH-provided cellular service in more than 150 countries, along with shore-based Wi-Fi access. The May 2023 introduction of the KVH ONE OpenNet Program expanded access to KVH's global HTS network and airtime services to non-KVH terminals for the first time.</w:t>
      </w:r>
    </w:p>
    <w:p>
      <w:pPr>
        <w:spacing w:after="0" w:line="20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AgilePlans, KVH’s connectivity as a service offering, is a monthly subscription model that provides global connectivity to commercial maritime customers. The subscription includes the choice of satellite-only and hybrid terminals, airtime data service,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the Company offers to customers who elect to purchase or lease a TracNet H-series or TracPhone V-HTS series terminal.</w:t>
      </w:r>
    </w:p>
    <w:p>
      <w:pPr>
        <w:spacing w:after="0" w:line="20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five years. Since the Company is retaining ownership of the hardware, it does not accrue any warranty costs for AgilePlans hardware; however, any maintenance costs on the hardware is expensed in the period these costs are incurred.</w:t>
      </w:r>
    </w:p>
    <w:p>
      <w:pPr>
        <w:spacing w:after="0" w:line="20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Service sales also include the distribution of commercially licensed entertainment, including news, sports, and movies to commercial customers in the maritime and hotel markets through the KVH Media Group, along with supplemental value-added services. In addition, KVH earns monthly usage fees from third-party satellite connectivity services, including VoIP, data and Internet services, provided to its Inmarsat and Iridium customers who choose to activate their subscriptions with KVH. Service sales also include sales from product repairs and extended warranty sales.</w:t>
      </w:r>
    </w:p>
    <w:p>
      <w:pPr>
        <w:spacing w:after="0" w:line="19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On August 9, 2022, the Company sold its inertial navigation business to EMCORE Corporation for net proceeds of $54,904, less specified deductions. On August 9, 2022, the Company also entered into a Transition Services Agreement with EMCORE, pursuant to which the Company agreed to provide certain transition services to support the continued operation of the inertial navigation business for six months following the sale with two extension options of three months each. The fee comprises both fixed monthly fees of approximately $100 as well as variable amounts for certain additional services with escalation increases on the fixed and variable rates for each extension option. The Company does not have any continuing involvement in these operations other than the transition services, which are being recorded as an offset to general and administrative expenses in continuing operations. For the three and six months ended June 30, 2023, the Company recognized an offset to general and administrative expenses associated with the Transition Services Agreement of $196 and $723, respectively. The Company determined that the sale met the requirements for reporting as discontinued operations in accordance with Accounting Standards Codification (ASC) 205-20. Please see Note 16 for the discontinued operations disclosures. As a result of the sale of its inertial navigation business, the Company operates as one reportable segment.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ind w:left="440" w:hanging="432"/>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accompanying consolidated interim financial statements of KVH Industries, Inc. and its wholly owned subsidiaries have been prepared in accordance with accounting principles generally accepted in the United States of America. The Company has evaluated all subsequent events through the date of this filing. All significant intercompany accounts and transactions have been eliminated in consolidation.</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2022 consolidated interim financial statements reflect the sale of the inertial navigation business as discontinued operations. See Notes 1 and 16 for further information on the sale of the inertial navigation business.</w:t>
      </w:r>
    </w:p>
    <w:p>
      <w:pPr>
        <w:spacing w:after="0" w:line="19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consolidated interim financial statements have not been audited by the Company’s independent registered public accounting firm and include all adjustments (consisting of only normal recurring adjustments) which are, in the opinion of management, necessary for a fair presentation of the financial condition, results of operations, and cash flows for the periods presented. These consolidated interim financial statements do not include all disclosures associated with annual financial statements and accordingly should be read in conjunction with the Company’s consolidated financial statements and related notes included in the Company’s annual report on Form 10-K for the year ended December 31, 2022 filed on March 16, 2023 with the Securities and Exchange Commission. The results for the three and six months ended June 30, 2023 are not necessarily indicative of operating results for the remainder of the year.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Estimates and Assumptions and Other Significant Non-Recurring Transactions</w:t>
      </w:r>
    </w:p>
    <w:p>
      <w:pPr>
        <w:spacing w:after="0" w:line="25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preparation of interim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interim financial statements and the reported amounts of sales and expenses during the reporting periods. As described in the Company’s annual report on Form 10-K, the estimates and assumptions used by management affect the Company’s revenue recognition, valuation of accounts receivable, valuation of inventory, expected future cash flows including growth rates, discount rates, terminal values and other assumptions and estimates used to evaluate the recoverability of long-lived assets and goodwill, estimated fair values of long-lived assets, including goodwill, amortization methods and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19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5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financial statements of the Company’s foreign subsidiaries located in Denmark and Singapore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Foreign currency exchange gains and losses are recognized within “other (expense) income, net” in the accompanying consolidated statements of operations. The Company recorded a total of net foreign currency exchange (losses) gains, which are comprised of both realized and unrealized foreign currency exchange gains and losses, in its accompanying consolidated statements of operations of $(56) and $284 for the three months ended June 30, 2023 and 2022, respectively, and $(110) and $559 for the six months ended June 30, 2023 and 2022, respectively.</w:t>
      </w:r>
    </w:p>
    <w:p>
      <w:pPr>
        <w:spacing w:after="0" w:line="20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financial statements of the Company’s foreign subsidiaries located in the United Kingdom, Brazil, Norway, Cyprus,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Management Transition and Restructuring</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March 7, 2022, the Company announced that its President and Chief Executive Officer, Martin Kits van Heyningen, was retiring from his executive and Board roles after more than 40 years of service and assuming a consulting position with the Company. As of March 31, 2022, the Company accrued approximately $539 in consulting fees associated with a maximum of 50 hours of transition services through March 31, 2023, which was paid to Mr. Kits van Heyningen over the 12 months following his retirement. As of June 30, 2023 all payments related to the consulting fees had been completed. The associated expenses were included in general and administrative expenses in the accompanying consolidated statements of operations. There were also modifications to Mr. Kits van Heyningen's stock option and restricted stock awards.</w:t>
      </w:r>
    </w:p>
    <w:p>
      <w:pPr>
        <w:spacing w:after="0" w:line="20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March 2022, the Company also restructured its operations to reduce costs and pursue a more focused strategy. The Company reduced its workforce by approximately 10% and began incurring reduced expenses from these actions beginning in the second quarter of 2022. For the three months ended June 30, 2022, the Company incurred $426 in severance payments and other employee benefit costs for employees who had a severance date of June 30, 2022 to December 31, 2022. For the six months ended June 30, 2022, the Company incurred $1,818 in severance and health insurance costs and $327 in legal and advisory fees. The combined expense of $2,145 was included in the financial statement line items of the accompanying consolidated statements of operations as follows: costs of product sales of $17, costs of service sales of $55, research and development of $392, sales, marketing and support of $894, and general and administrative expenses of $787. The Company also modified impacted employee's stock option and restricted stock awards.</w:t>
      </w:r>
    </w:p>
    <w:p>
      <w:pPr>
        <w:spacing w:after="0" w:line="193"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During the third quarter of 2022, the Company restructured its foreign operations by closing its India and Cyprus offices and its Denmark warehouse to reduce costs. All costs associated with the severance payments, other employee benefits, and legal and advisory fees were incurred in 2022.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Dispositions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29, 2022, KVH Media Group Limited, the Company's wholly owned subsidiary, sold its subsidiary KVH Media Group Entertainment Limited for net cash proceeds of $2,378. This transaction did not meet the criteria for reporting as discontinued operations under ASC 205-20. The Company recorded a gain on the sale of approximately $630, which is recorded in other income, net in the accompanying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May 2022, the Company entered into executive employment agreements with each of Brent C. Bruun, Roger A. Kuebel, Felise Feingold and Robert Balog in order to retain their services and provide them with certain benefits in the event that the Company terminates the executive’s employment without cause (as defined in the agreement) or the executive terminates his or her employment for good reason (as defined in the agreement) (either such termination, a “Qualifying Termination”), including following a change of control. The terms of the agreements are substantially identical except as to title, salary, target bonus and reporting responsibilities. The agreements provided that, if the executive continued to serve as an employee through December 31, 2022 (the “Retention Date”), the Company would pay the executive a retention bonus equal to 75% of the executive’s base salary on the agreement date, and the Company would accelerate the vesting of the executive’s equity awards that would otherwise have vested in the twelve months after the Retention Date.</w:t>
      </w:r>
    </w:p>
    <w:p>
      <w:pPr>
        <w:spacing w:after="0" w:line="21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October 11, 2022, the Company entered into an amendment to the employment agreement with Mr. Bruun that, among other things, increased his annual base salary to $448 per year, retroactive to July 1, 2022, increased his target annual incentive compensation for the second half of 2022 to 80% of his base salary (without changing his target annual incentive compensation for the first half of 2022), extended his Retention Date from December 31, 2022 to December 31, 2023, which effectively extended the period during which Mr. Bruun must remain employed by the Company in order to earn his retention bonus, and modified the amount of the retention bonus from 75% of his base salary in effect on May 2, 2022 to 75% of the highest base salary in effect for Mr. Bruun on or before the date he becomes entitled to receive the retention bonus or the “Partial Retention Bonus” (as defined in the employment agreement). If a Qualifying Termination occurs before December 31, 2023, Mr. Bruun will receive a pro rata portion of the retention bonus. If in connection with such a termination he becomes entitled to receive the change in control severance payments and benefits, he will also become entitled to receive the full retention bonus, and the Retention Date will be the later of the date of such change in control or such termination of employment. The amendment did not modify the terms of the employment agreement relating to acceleration of vesting of certain equity awards if Mr. Bruun remains employed by the Company through December 31, 2022.</w:t>
      </w:r>
    </w:p>
    <w:p>
      <w:pPr>
        <w:spacing w:after="0" w:line="209"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In January 2023, the Company paid out all contracted benefits to Roger A. Kuebel, Felise Feingold and Robert Balog as the conditions of their agreements were satisfied on December 31, 2022. As of June 30, 2023, the Company has accrued approximately $236 for the retention bonus payable to Brent Bruun.</w:t>
      </w:r>
    </w:p>
    <w:p>
      <w:pPr>
        <w:spacing w:after="0" w:line="21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addition to the amendment to Mr. Bruun’s employment agreement, the Compensation Committee also granted Mr. Bruun a restricted stock award and a non-statutory stock option, which together had an aggregate grant date fair value of approximately $100. The restricted stock award and the non-statutory stock option have terms that are materially consistent with the previously disclosed terms of similar grants to the Company’s executive officers.</w:t>
      </w:r>
    </w:p>
    <w:p>
      <w:pPr>
        <w:spacing w:after="0" w:line="200" w:lineRule="exact"/>
        <w:rPr>
          <w:sz w:val="20"/>
          <w:szCs w:val="20"/>
          <w:color w:val="auto"/>
        </w:rPr>
      </w:pPr>
    </w:p>
    <w:p>
      <w:pPr>
        <w:spacing w:after="0" w:line="215"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Implemented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ASC Update No. 2016-13, ASC Update No. 2018-19, ASC Update No. 2019-04, ASC Update No. 2019-05, ASC Update No. 2019-10, ASC Update No. 2019-11, ASC Update No. 2020-02 and ASC Update No. 2022-02</w:t>
      </w:r>
    </w:p>
    <w:p>
      <w:pPr>
        <w:spacing w:after="0" w:line="19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In June 2016, the Financial Accounting Standards Board, or FASB, issued Accounting Standards Codification (ASC) Update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 Credit Losses (Topic 326): Measurement of Credit Losses on Financial Instruments</w:t>
      </w:r>
      <w:r>
        <w:rPr>
          <w:rFonts w:ascii="Arial" w:cs="Arial" w:eastAsia="Arial" w:hAnsi="Arial"/>
          <w:sz w:val="17"/>
          <w:szCs w:val="17"/>
          <w:color w:val="auto"/>
        </w:rPr>
        <w:t>. The purpose of Update No. 2016-13 is to replace the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Update No. 2016-13 did not have a material impact on the Company's financial position or results of operations.</w:t>
      </w:r>
    </w:p>
    <w:p>
      <w:pPr>
        <w:spacing w:after="0" w:line="20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In November 2018, the FASB issued ASC Update No. 2018-19,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This update introduced an expected credit loss methodology for the impairment of financial assets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measured at amortized cost. The amendment also clarifies that receivables arising from operating leases are not within the scope of Subtopic 326-20. Instead, impairment of receivables arising from operating leases should be accounted for in accordance with Topic 842, Leases. Update No. 2018-19 did not have a material impact on the Company's financial position or results of operations.</w:t>
      </w:r>
    </w:p>
    <w:p>
      <w:pPr>
        <w:spacing w:after="0" w:line="21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May 2019, the FASB issued ASC Update No. 2019-04, </w:t>
      </w:r>
      <w:r>
        <w:rPr>
          <w:rFonts w:ascii="Arial" w:cs="Arial" w:eastAsia="Arial" w:hAnsi="Arial"/>
          <w:sz w:val="18"/>
          <w:szCs w:val="18"/>
          <w:i w:val="1"/>
          <w:iCs w:val="1"/>
          <w:color w:val="auto"/>
        </w:rPr>
        <w:t>Codification Improvements to Topic 326, Financial Instruments—Credit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815, Derivatives and Hedging, and Topic 825, Financial Instruments</w:t>
      </w:r>
      <w:r>
        <w:rPr>
          <w:rFonts w:ascii="Arial" w:cs="Arial" w:eastAsia="Arial" w:hAnsi="Arial"/>
          <w:sz w:val="18"/>
          <w:szCs w:val="18"/>
          <w:color w:val="auto"/>
        </w:rPr>
        <w:t>. This update introduced clarifications of the Board’s intent with respect to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the transfer between classifications or categories for loans and debt securities, recoveries, reinsurance recoverables, projects of interest rate environments for variable-rate financial instruments, costs to sell when foreclosure is probable, consideration of expected prepayments when determining the effective interest rate, vintage disclosures, and extension and renewal options. Update No. 2019-04 did not have a material impact on the Company's financial position or results of operations.</w:t>
      </w:r>
    </w:p>
    <w:p>
      <w:pPr>
        <w:spacing w:after="0" w:line="21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 xml:space="preserve">In May 2019, the FASB issued ASC Update No. 2019-05, </w:t>
      </w:r>
      <w:r>
        <w:rPr>
          <w:rFonts w:ascii="Arial" w:cs="Arial" w:eastAsia="Arial" w:hAnsi="Arial"/>
          <w:sz w:val="16"/>
          <w:szCs w:val="16"/>
          <w:i w:val="1"/>
          <w:iCs w:val="1"/>
          <w:color w:val="auto"/>
        </w:rPr>
        <w:t>Financial Instruments—Credit Losses (Topic 326): Targeted Transition Relief</w:t>
      </w:r>
      <w:r>
        <w:rPr>
          <w:rFonts w:ascii="Arial" w:cs="Arial" w:eastAsia="Arial" w:hAnsi="Arial"/>
          <w:sz w:val="16"/>
          <w:szCs w:val="16"/>
          <w:color w:val="auto"/>
        </w:rPr>
        <w:t xml:space="preserve">. The amendments in the update ease the transition for entities adopting ASC Update 2016-13 and increase the comparability of financial statement information. With the exception of held-to-maturity debt securities, the amendments allow entities to irrevocably elect to apply the fair value option to financial instruments that were previously recorded at amortized cost basis within the scope of Subtopic 326-20, </w:t>
      </w:r>
      <w:r>
        <w:rPr>
          <w:rFonts w:ascii="Arial" w:cs="Arial" w:eastAsia="Arial" w:hAnsi="Arial"/>
          <w:sz w:val="16"/>
          <w:szCs w:val="16"/>
          <w:i w:val="1"/>
          <w:iCs w:val="1"/>
          <w:color w:val="auto"/>
        </w:rPr>
        <w:t>Financial Instruments—Credit Losses—Measured</w:t>
      </w:r>
      <w:r>
        <w:rPr>
          <w:rFonts w:ascii="Arial" w:cs="Arial" w:eastAsia="Arial" w:hAnsi="Arial"/>
          <w:sz w:val="16"/>
          <w:szCs w:val="16"/>
          <w:color w:val="auto"/>
        </w:rPr>
        <w:t xml:space="preserve"> </w:t>
      </w:r>
      <w:r>
        <w:rPr>
          <w:rFonts w:ascii="Arial" w:cs="Arial" w:eastAsia="Arial" w:hAnsi="Arial"/>
          <w:sz w:val="16"/>
          <w:szCs w:val="16"/>
          <w:i w:val="1"/>
          <w:iCs w:val="1"/>
          <w:color w:val="auto"/>
        </w:rPr>
        <w:t>at Amortized Cost</w:t>
      </w:r>
      <w:r>
        <w:rPr>
          <w:rFonts w:ascii="Arial" w:cs="Arial" w:eastAsia="Arial" w:hAnsi="Arial"/>
          <w:sz w:val="16"/>
          <w:szCs w:val="16"/>
          <w:color w:val="auto"/>
        </w:rPr>
        <w:t>. Update No. 2019-05 did not have a material impact on the Company's financial position or results of operations.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November 2019, the FASB issued ASC Update No. 2019-10, </w:t>
      </w:r>
      <w:r>
        <w:rPr>
          <w:rFonts w:ascii="Arial" w:cs="Arial" w:eastAsia="Arial" w:hAnsi="Arial"/>
          <w:sz w:val="18"/>
          <w:szCs w:val="18"/>
          <w:i w:val="1"/>
          <w:iCs w:val="1"/>
          <w:color w:val="auto"/>
        </w:rPr>
        <w:t>Financial Instruments—Credit Losses (Topic 326), Derivatives and Hedging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815), and Leases (Topic 842): Effective Dates. </w:t>
      </w:r>
      <w:r>
        <w:rPr>
          <w:rFonts w:ascii="Arial" w:cs="Arial" w:eastAsia="Arial" w:hAnsi="Arial"/>
          <w:sz w:val="18"/>
          <w:szCs w:val="18"/>
          <w:color w:val="auto"/>
        </w:rPr>
        <w:t>The amendments in this update change some effective dates for certain new accounting standards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those pertaining to Topic 326 discussed above, for certain types of entities. Update No. 2019-10 did not have a material impact on the Company's financial position or results of operations.</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November 2019, the FASB issued ASC Update No. 2019-11,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326). </w:t>
      </w:r>
      <w:r>
        <w:rPr>
          <w:rFonts w:ascii="Arial" w:cs="Arial" w:eastAsia="Arial" w:hAnsi="Arial"/>
          <w:sz w:val="18"/>
          <w:szCs w:val="18"/>
          <w:color w:val="auto"/>
        </w:rPr>
        <w:t>The update is effective for entities that have adopted ASU 2016-13. The purpose of Update No. 2019-11 is to clarify the scope of the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to purchased financial assets with credit deterioration. Update No. 2019-11 did not have a material impact on the Company's financial position or results of operations.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In February 2020, the FASB issued ASC Update No. 2020-02, </w:t>
      </w:r>
      <w:r>
        <w:rPr>
          <w:rFonts w:ascii="Arial" w:cs="Arial" w:eastAsia="Arial" w:hAnsi="Arial"/>
          <w:sz w:val="18"/>
          <w:szCs w:val="18"/>
          <w:i w:val="1"/>
          <w:iCs w:val="1"/>
          <w:color w:val="auto"/>
        </w:rPr>
        <w:t>Financial Instruments – Credit Losses (Topic 326) and</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Leases (Topic 842). </w:t>
      </w:r>
      <w:r>
        <w:rPr>
          <w:rFonts w:ascii="Arial" w:cs="Arial" w:eastAsia="Arial" w:hAnsi="Arial"/>
          <w:sz w:val="18"/>
          <w:szCs w:val="18"/>
          <w:color w:val="auto"/>
        </w:rPr>
        <w:t>The purpose of Update No. 2020-02 is to clarify the scope and interpretation of the standard. Update No. 2020-02 did not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impact on the Company's financial position or results of operations.</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March 2022, the FASB issued ASC update 2022-02, </w:t>
      </w:r>
      <w:r>
        <w:rPr>
          <w:rFonts w:ascii="Arial" w:cs="Arial" w:eastAsia="Arial" w:hAnsi="Arial"/>
          <w:sz w:val="17"/>
          <w:szCs w:val="17"/>
          <w:i w:val="1"/>
          <w:iCs w:val="1"/>
          <w:color w:val="auto"/>
        </w:rPr>
        <w:t>Financial Instruments – Credit Losses (Topic 326) – Troubled Debt Restructurings and</w:t>
      </w:r>
      <w:r>
        <w:rPr>
          <w:rFonts w:ascii="Arial" w:cs="Arial" w:eastAsia="Arial" w:hAnsi="Arial"/>
          <w:sz w:val="17"/>
          <w:szCs w:val="17"/>
          <w:color w:val="auto"/>
        </w:rPr>
        <w:t xml:space="preserve"> </w:t>
      </w:r>
      <w:r>
        <w:rPr>
          <w:rFonts w:ascii="Arial" w:cs="Arial" w:eastAsia="Arial" w:hAnsi="Arial"/>
          <w:sz w:val="17"/>
          <w:szCs w:val="17"/>
          <w:i w:val="1"/>
          <w:iCs w:val="1"/>
          <w:color w:val="auto"/>
        </w:rPr>
        <w:t>Vintage Disclosures</w:t>
      </w:r>
      <w:r>
        <w:rPr>
          <w:rFonts w:ascii="Arial" w:cs="Arial" w:eastAsia="Arial" w:hAnsi="Arial"/>
          <w:sz w:val="17"/>
          <w:szCs w:val="17"/>
          <w:color w:val="auto"/>
        </w:rPr>
        <w:t>. The vintage disclosure portion of this guidance is applicable to the Company, which requires that an entity disclose current-period</w:t>
      </w:r>
      <w:r>
        <w:rPr>
          <w:rFonts w:ascii="Arial" w:cs="Arial" w:eastAsia="Arial" w:hAnsi="Arial"/>
          <w:sz w:val="17"/>
          <w:szCs w:val="17"/>
          <w:i w:val="1"/>
          <w:iCs w:val="1"/>
          <w:color w:val="auto"/>
        </w:rPr>
        <w:t xml:space="preserve"> </w:t>
      </w:r>
      <w:r>
        <w:rPr>
          <w:rFonts w:ascii="Arial" w:cs="Arial" w:eastAsia="Arial" w:hAnsi="Arial"/>
          <w:sz w:val="17"/>
          <w:szCs w:val="17"/>
          <w:color w:val="auto"/>
        </w:rPr>
        <w:t>gross write-offs by year of origination for financing receivables and net investment in leases within the scope of Subtopic 326-20. Gross write-off information must included the amortized cost basis of financing receivables by credit-quality indicator and class of financing receivable by year of origination. Update No. 2022-02 did not have a material impact on the Company's financial position or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2017-04</w:t>
      </w:r>
    </w:p>
    <w:p>
      <w:pPr>
        <w:spacing w:after="0" w:line="25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 xml:space="preserve">In January 2017, the FASB issued ASC Update No. 2017-04, </w:t>
      </w:r>
      <w:r>
        <w:rPr>
          <w:rFonts w:ascii="Arial" w:cs="Arial" w:eastAsia="Arial" w:hAnsi="Arial"/>
          <w:sz w:val="16"/>
          <w:szCs w:val="16"/>
          <w:i w:val="1"/>
          <w:iCs w:val="1"/>
          <w:color w:val="auto"/>
        </w:rPr>
        <w:t>Intangibles - Goodwill and Other (Topic 350) - Simplifying the Test for 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w:t>
      </w:r>
      <w:r>
        <w:rPr>
          <w:rFonts w:ascii="Arial" w:cs="Arial" w:eastAsia="Arial" w:hAnsi="Arial"/>
          <w:sz w:val="16"/>
          <w:szCs w:val="16"/>
          <w:color w:val="auto"/>
        </w:rPr>
        <w:t>. The purpose of Update No. 2017-04 is to eliminate Step 2 from the goodwill impairment test and instead an entity should perform its annual,</w:t>
      </w:r>
      <w:r>
        <w:rPr>
          <w:rFonts w:ascii="Arial" w:cs="Arial" w:eastAsia="Arial" w:hAnsi="Arial"/>
          <w:sz w:val="16"/>
          <w:szCs w:val="16"/>
          <w:i w:val="1"/>
          <w:iCs w:val="1"/>
          <w:color w:val="auto"/>
        </w:rPr>
        <w:t xml:space="preserve"> </w:t>
      </w:r>
      <w:r>
        <w:rPr>
          <w:rFonts w:ascii="Arial" w:cs="Arial" w:eastAsia="Arial" w:hAnsi="Arial"/>
          <w:sz w:val="16"/>
          <w:szCs w:val="16"/>
          <w:color w:val="auto"/>
        </w:rPr>
        <w:t>or interim, goodwill impairment quantitative test by comparing the fair value of a reporting unit with its carrying amount. An entity will then recognize an impairment charge for the amount by which the carrying amount exceeds the reporting unit's fair value, to the extent of the amount of goodwill allocated to that reporting unit. Update No. 2017-04 did not have a material impact on the Company's financial position or results of operations.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are no other recent accounting pronouncements issued by the FASB that the Company expects would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Marketable securities as of June 30, 2023 and December 31, 2022 consisted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90"/>
              <w:spacing w:after="0" w:line="184"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0"/>
              <w:spacing w:after="0" w:line="184"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June 30, 2023</w:t>
            </w:r>
          </w:p>
        </w:tc>
        <w:tc>
          <w:tcPr>
            <w:tcW w:w="160" w:type="dxa"/>
            <w:vAlign w:val="bottom"/>
          </w:tcPr>
          <w:p>
            <w:pPr>
              <w:spacing w:after="0"/>
              <w:rPr>
                <w:sz w:val="16"/>
                <w:szCs w:val="16"/>
                <w:color w:val="auto"/>
              </w:rPr>
            </w:pPr>
          </w:p>
        </w:tc>
        <w:tc>
          <w:tcPr>
            <w:tcW w:w="104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50"/>
              <w:spacing w:after="0" w:line="194" w:lineRule="exact"/>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mutual 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56,966</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United States treasuries</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marketable securities designated as available-for-sale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30"/>
              <w:spacing w:after="0" w:line="181" w:lineRule="exact"/>
              <w:rPr>
                <w:sz w:val="20"/>
                <w:szCs w:val="20"/>
                <w:color w:val="auto"/>
              </w:rPr>
            </w:pPr>
            <w:r>
              <w:rPr>
                <w:rFonts w:ascii="Arial" w:cs="Arial" w:eastAsia="Arial" w:hAnsi="Arial"/>
                <w:sz w:val="18"/>
                <w:szCs w:val="18"/>
                <w:b w:val="1"/>
                <w:bCs w:val="1"/>
                <w:color w:val="auto"/>
              </w:rPr>
              <w:t>Fair</w:t>
            </w:r>
          </w:p>
        </w:tc>
      </w:tr>
      <w:tr>
        <w:trPr>
          <w:trHeight w:val="203"/>
        </w:trPr>
        <w:tc>
          <w:tcPr>
            <w:tcW w:w="20" w:type="dxa"/>
            <w:vAlign w:val="bottom"/>
          </w:tcPr>
          <w:p>
            <w:pPr>
              <w:spacing w:after="0"/>
              <w:rPr>
                <w:sz w:val="17"/>
                <w:szCs w:val="17"/>
                <w:color w:val="auto"/>
              </w:rPr>
            </w:pPr>
          </w:p>
        </w:tc>
        <w:tc>
          <w:tcPr>
            <w:tcW w:w="59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December 31, 2022</w:t>
            </w:r>
          </w:p>
        </w:tc>
        <w:tc>
          <w:tcPr>
            <w:tcW w:w="160" w:type="dxa"/>
            <w:vAlign w:val="bottom"/>
          </w:tcPr>
          <w:p>
            <w:pPr>
              <w:spacing w:after="0"/>
              <w:rPr>
                <w:sz w:val="17"/>
                <w:szCs w:val="17"/>
                <w:color w:val="auto"/>
              </w:rPr>
            </w:pPr>
          </w:p>
        </w:tc>
        <w:tc>
          <w:tcPr>
            <w:tcW w:w="10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Value</w:t>
            </w: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mutual 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30,977</w:t>
            </w: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United States treasuries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24,703</w:t>
            </w:r>
          </w:p>
        </w:tc>
      </w:tr>
      <w:tr>
        <w:trPr>
          <w:trHeight w:val="257"/>
        </w:trPr>
        <w:tc>
          <w:tcPr>
            <w:tcW w:w="20" w:type="dxa"/>
            <w:vAlign w:val="bottom"/>
            <w:shd w:val="clear" w:color="auto" w:fill="CCEEFF"/>
          </w:tcPr>
          <w:p>
            <w:pPr>
              <w:spacing w:after="0"/>
              <w:rPr>
                <w:sz w:val="22"/>
                <w:szCs w:val="2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marketable securities designated as available-for-sale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3"/>
              </w:rPr>
              <w:t>(12)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income from marketable securities was $687 and $9 during the three months ended June 30, 2023 and 2022, respectively, and $1,275 and $10 during the six months ended June 30, 2023 and 2022, respectively.</w:t>
      </w:r>
    </w:p>
    <w:p>
      <w:pPr>
        <w:spacing w:after="0" w:line="193"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 Stock Equity and Incentive Plan</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 xml:space="preserve">The Company recognizes stock-based compensation in accordance with the provisions of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On June 8, 2022, at the Company's 2022 Annual Meeting of Stockholders, the stockholders of the Company approved an amendment and restatement of the Company’s current equity compensation plan to increase the number of shares of common stock reserved for issuance under the plan by 1,280 shares, from 4,800 shares to 6,080 shares (excluding rollover shares). Stock-based compensation expense was $566 and $701, excluding $12 and $4 of compensation charges related to our Amended and Restated 1996 Employee Stock Purchase Plan, or the ESPP, for the three months ended June 30, 2023 and 2022, respectively, and $850 and $1,560, excluding $24 and $26 of compensation shares related to ESPP, for the six months ended June 30, 2023 and 2022, respectively. As of June 30, 2023, there was $2,513 of total unrecognized compensation expense related to stock options, which is expected to be recognized over a weighted-average period of 2.80 years. As of June 30, 2023, there was $2,690 of total unrecognized compensation expense related to restricted stock awards, which is expected to be recognized over a weighted-average period of 3.04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5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During the three months ended June 30, 2023, the Company issued 147 shares of common stock upon the exercise of stock options and received $1,345 as payment for the exercise price. No shares were surrendered to the Company to satisfy minimum tax withholding obligations. Additionally, during the three months ended June 30, 2023, no stock options were granted and 261 stock options expired, were canceled or were forfeited.</w:t>
      </w:r>
    </w:p>
    <w:p>
      <w:pPr>
        <w:spacing w:after="0" w:line="1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six months ended June 30, 2023, the Company issued 260 shares of common stock upon the exercise of stock options and received $2,367 as payment for the exercise price. No shares were surrendered to the Company to satisfy minimum tax withholding obligations. Additionally, during the six months ended June 30, 2023, 317 stock options were granted and 431 stock options expired, were canceled or were forfeited. During the six months ended June 30, 2022, 398 stock options were granted. The Company has historically estimated the fair value of each option grant on the date of grant using the Black-Scholes option-pricing model. The weighted average assumptions utilized to determine the fair value of options granted during the six months ended June 30, 2023 and 2022 are as follows: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ind w:left="796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80" w:type="dxa"/>
            <w:vAlign w:val="bottom"/>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rPr>
              <w:t>2022</w:t>
            </w:r>
          </w:p>
        </w:tc>
      </w:tr>
      <w:tr>
        <w:trPr>
          <w:trHeight w:val="224"/>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4.49 %</w:t>
            </w:r>
          </w:p>
        </w:tc>
        <w:tc>
          <w:tcPr>
            <w:tcW w:w="2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2.97 %</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760" w:type="dxa"/>
            <w:vAlign w:val="bottom"/>
          </w:tcPr>
          <w:p>
            <w:pPr>
              <w:jc w:val="right"/>
              <w:spacing w:after="0"/>
              <w:rPr>
                <w:sz w:val="20"/>
                <w:szCs w:val="20"/>
                <w:color w:val="auto"/>
              </w:rPr>
            </w:pPr>
            <w:r>
              <w:rPr>
                <w:rFonts w:ascii="Arial" w:cs="Arial" w:eastAsia="Arial" w:hAnsi="Arial"/>
                <w:sz w:val="18"/>
                <w:szCs w:val="18"/>
                <w:color w:val="auto"/>
              </w:rPr>
              <w:t>43.93 %</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43.16 %</w:t>
            </w:r>
          </w:p>
        </w:tc>
      </w:tr>
      <w:tr>
        <w:trPr>
          <w:trHeight w:val="24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760" w:type="dxa"/>
            <w:vAlign w:val="bottom"/>
          </w:tcPr>
          <w:p>
            <w:pPr>
              <w:jc w:val="right"/>
              <w:spacing w:after="0"/>
              <w:rPr>
                <w:sz w:val="20"/>
                <w:szCs w:val="20"/>
                <w:color w:val="auto"/>
              </w:rPr>
            </w:pPr>
            <w:r>
              <w:rPr>
                <w:rFonts w:ascii="Arial" w:cs="Arial" w:eastAsia="Arial" w:hAnsi="Arial"/>
                <w:sz w:val="18"/>
                <w:szCs w:val="18"/>
                <w:color w:val="auto"/>
              </w:rPr>
              <w:t>0 %</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0 %</w:t>
            </w:r>
          </w:p>
        </w:tc>
      </w:tr>
    </w:tbl>
    <w:p>
      <w:pPr>
        <w:spacing w:after="0" w:line="32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June 30, 2023, there were 1,377 options outstanding with a weighted average exercise price of $9.55 per share and 565 options exercisable with a weighted average exercise price of $9.63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w:t>
      </w:r>
    </w:p>
    <w:p>
      <w:pPr>
        <w:spacing w:after="0" w:line="25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During the three months ended June 30, 2023, no shares of restricted stock were granted and 3 shares of restricted stock were forfeited. Additionally, during the three months ended June 30, 2023, 51 shares of restricted stock vested, of which no shares of common stock were surrendered to the Company as payment by employees in lieu of cash to satisfy minimum tax withholding obligations in connection with the vesting of restricted stock.</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six months ended June 30, 2023, 151 shares of restricted stock were granted with a weighted average grant date fair value of $9.81 per share and 72 shares of restricted stock were forfeited. Additionally, during the six months ended June 30, 2023, 94 shares of restricted stock vested, of which no shares of common stock were surrendered to the Company as payment by employees in lieu of cash to satisfy minimum tax withholding obligations in connection with the vesting of restricted stock.</w:t>
      </w: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June 30, 2023, the Company had no unvested outstanding options and no outstanding shares of restricted stock that were subject to performance-based or market-based vesting conditions.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Repurchase</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the first quarter of 2023, the Company’s Board of Directors authorized the repurchase of a portion of executive common stock. The Company repurchased 23 shares of common stock held by executives at the Company to satisfy minimum tax withholding obligations in lieu of cash payment. No shares of common stock were repurchased during the twelve months ended December 31, 2022.</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 Employee Stock Purchase Plan</w:t>
      </w:r>
    </w:p>
    <w:p>
      <w:pPr>
        <w:spacing w:after="0" w:line="25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Company's ESPP affords eligible employees the right to purchase common stock, via payroll deductions, through various offering periods at a purchase price equal to 85% of the fair market value of the common stock on the first or last day of the offering period, whichever is lower. During the three months ended June 30, 2023 and 2022, no shares were issued under the ESPP plan. During the six months ended June 30, 2023 and 2022, 0 and 22 shares were issued under the ESPP plan, respectively. The Company recorded compensation charges related to the ESPP of $12 and $4 for the three months ended June 30, 2023 and 2022, respectively, and $24 and $26 for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b w:val="1"/>
          <w:bCs w:val="1"/>
          <w:i w:val="1"/>
          <w:iCs w:val="1"/>
          <w:color w:val="auto"/>
        </w:rPr>
        <w:t>(c) Stock-Based Compensation Expense</w:t>
      </w:r>
    </w:p>
    <w:p>
      <w:pPr>
        <w:spacing w:after="0" w:line="90"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The following table presents stock-based compensation expense, including expense for the ESPP, in the Company's consolidated statements of operations for the three and six months ended June 30, 2023 and 2022: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4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Cost of service sales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Sales, marketing and support</w:t>
            </w:r>
          </w:p>
        </w:tc>
        <w:tc>
          <w:tcPr>
            <w:tcW w:w="1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23"/>
        </w:trPr>
        <w:tc>
          <w:tcPr>
            <w:tcW w:w="438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1,586</w:t>
            </w:r>
          </w:p>
        </w:tc>
      </w:tr>
      <w:tr>
        <w:trPr>
          <w:trHeight w:val="21"/>
        </w:trPr>
        <w:tc>
          <w:tcPr>
            <w:tcW w:w="4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Accumulated Other Comprehensive Loss (AOCL)</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Comprehensive income (loss) includes net income (loss), unrealized gains and losses from foreign currency translation, and unrealized gains and losses on available for sale marketable securities. The components of the Company’s comprehensive income (loss) and the effect on earnings for the periods presented are detailed in the accompanying consolidated statements of comprehensive income (loss).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balances for the three months ended June 30, 2023 and 2022 are as follows: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9"/>
              </w:rPr>
              <w:t>Foreign Currency</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 Gain (Loss) 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w w:val="95"/>
              </w:rPr>
              <w:t>Total Accumulated 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Available for Sale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b w:val="1"/>
                <w:bCs w:val="1"/>
                <w:color w:val="auto"/>
              </w:rPr>
              <w:t>Translation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Marketable Securities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Comprehensive Loss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2023</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other comprehensive income (loss)</w:t>
            </w:r>
          </w:p>
        </w:tc>
        <w:tc>
          <w:tcPr>
            <w:tcW w:w="26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Balance, June 30, 2023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(3,955)</w:t>
            </w:r>
          </w:p>
        </w:tc>
        <w:tc>
          <w:tcPr>
            <w:tcW w:w="12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Foreign Currency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Total Accumulated Other</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Translation</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6"/>
              </w:rPr>
              <w:t>Comprehensive Loss</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2022</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(3,602)</w:t>
            </w: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(3,602)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other comprehensive loss</w:t>
            </w:r>
          </w:p>
        </w:tc>
        <w:tc>
          <w:tcPr>
            <w:tcW w:w="2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7"/>
        </w:trPr>
        <w:tc>
          <w:tcPr>
            <w:tcW w:w="43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June 30, 2022</w:t>
            </w: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(4,021)</w:t>
            </w:r>
          </w:p>
        </w:tc>
        <w:tc>
          <w:tcPr>
            <w:tcW w:w="2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balances for the six months ended June 30, 2023 and 2022 are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 (Loss) Gain 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180"/>
        </w:trPr>
        <w:tc>
          <w:tcPr>
            <w:tcW w:w="4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jc w:val="right"/>
              <w:ind w:right="310"/>
              <w:spacing w:after="0" w:line="181" w:lineRule="exact"/>
              <w:rPr>
                <w:sz w:val="20"/>
                <w:szCs w:val="20"/>
                <w:color w:val="auto"/>
              </w:rPr>
            </w:pPr>
            <w:r>
              <w:rPr>
                <w:rFonts w:ascii="Arial" w:cs="Arial" w:eastAsia="Arial" w:hAnsi="Arial"/>
                <w:sz w:val="18"/>
                <w:szCs w:val="18"/>
                <w:b w:val="1"/>
                <w:bCs w:val="1"/>
                <w:color w:val="auto"/>
                <w:w w:val="99"/>
              </w:rPr>
              <w:t>Foreign Currency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0"/>
              </w:rPr>
              <w:t>Available for Sale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jc w:val="right"/>
              <w:ind w:right="30"/>
              <w:spacing w:after="0" w:line="181" w:lineRule="exact"/>
              <w:rPr>
                <w:sz w:val="20"/>
                <w:szCs w:val="20"/>
                <w:color w:val="auto"/>
              </w:rPr>
            </w:pPr>
            <w:r>
              <w:rPr>
                <w:rFonts w:ascii="Arial" w:cs="Arial" w:eastAsia="Arial" w:hAnsi="Arial"/>
                <w:sz w:val="18"/>
                <w:szCs w:val="18"/>
                <w:b w:val="1"/>
                <w:bCs w:val="1"/>
                <w:color w:val="auto"/>
                <w:w w:val="90"/>
              </w:rPr>
              <w:t>Total Accumulated Other</w:t>
            </w:r>
          </w:p>
        </w:tc>
      </w:tr>
      <w:tr>
        <w:trPr>
          <w:trHeight w:val="229"/>
        </w:trPr>
        <w:tc>
          <w:tcPr>
            <w:tcW w:w="4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Translation</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Marketable Securities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Comprehensive Loss</w:t>
            </w:r>
          </w:p>
        </w:tc>
      </w:tr>
      <w:tr>
        <w:trPr>
          <w:trHeight w:val="237"/>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shd w:val="clear" w:color="auto" w:fill="CCEEFF"/>
          </w:tcPr>
          <w:p>
            <w:pPr>
              <w:jc w:val="center"/>
              <w:ind w:left="1550"/>
              <w:spacing w:after="0"/>
              <w:rPr>
                <w:sz w:val="20"/>
                <w:szCs w:val="20"/>
                <w:color w:val="auto"/>
              </w:rPr>
            </w:pPr>
            <w:r>
              <w:rPr>
                <w:rFonts w:ascii="Arial" w:cs="Arial" w:eastAsia="Arial" w:hAnsi="Arial"/>
                <w:sz w:val="18"/>
                <w:szCs w:val="18"/>
                <w:b w:val="1"/>
                <w:bCs w:val="1"/>
                <w:color w:val="auto"/>
                <w:w w:val="93"/>
              </w:rPr>
              <w:t>(12)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(4,110)</w:t>
            </w:r>
          </w:p>
        </w:tc>
      </w:tr>
      <w:tr>
        <w:trPr>
          <w:trHeight w:val="230"/>
        </w:trPr>
        <w:tc>
          <w:tcPr>
            <w:tcW w:w="4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left="1590"/>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4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center"/>
              <w:ind w:left="1590"/>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Balance, June 30, 2023</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(3,955)</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(3,955)</w:t>
            </w:r>
          </w:p>
        </w:tc>
      </w:tr>
      <w:tr>
        <w:trPr>
          <w:trHeight w:val="20"/>
        </w:trPr>
        <w:tc>
          <w:tcPr>
            <w:tcW w:w="4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Foreign Currency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Total Accumulated Other</w:t>
            </w:r>
          </w:p>
        </w:tc>
      </w:tr>
      <w:tr>
        <w:trPr>
          <w:trHeight w:val="239"/>
        </w:trPr>
        <w:tc>
          <w:tcPr>
            <w:tcW w:w="67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Translation</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Comprehensive Loss</w:t>
            </w:r>
          </w:p>
        </w:tc>
      </w:tr>
      <w:tr>
        <w:trPr>
          <w:trHeight w:val="22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(3,409)</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r>
      <w:tr>
        <w:trPr>
          <w:trHeight w:val="223"/>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Balance, June 30, 2022</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(4,021)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(4,021)</w:t>
            </w:r>
          </w:p>
        </w:tc>
      </w:tr>
      <w:tr>
        <w:trPr>
          <w:trHeight w:val="20"/>
        </w:trPr>
        <w:tc>
          <w:tcPr>
            <w:tcW w:w="6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from Continuing Operations per Common Share</w:t>
      </w:r>
    </w:p>
    <w:p>
      <w:pPr>
        <w:spacing w:after="0" w:line="256" w:lineRule="exact"/>
        <w:rPr>
          <w:sz w:val="20"/>
          <w:szCs w:val="20"/>
          <w:color w:val="auto"/>
        </w:rPr>
      </w:pPr>
    </w:p>
    <w:p>
      <w:pPr>
        <w:jc w:val="both"/>
        <w:ind w:firstLine="250"/>
        <w:spacing w:after="0" w:line="272" w:lineRule="auto"/>
        <w:rPr>
          <w:sz w:val="20"/>
          <w:szCs w:val="20"/>
          <w:color w:val="auto"/>
        </w:rPr>
      </w:pPr>
      <w:r>
        <w:rPr>
          <w:rFonts w:ascii="Arial" w:cs="Arial" w:eastAsia="Arial" w:hAnsi="Arial"/>
          <w:sz w:val="17"/>
          <w:szCs w:val="17"/>
          <w:color w:val="auto"/>
        </w:rPr>
        <w:t>Basic net income (loss) per share is calculated based on the weighted average number of common shares outstanding during the period. Diluted net income per share incorporates the dilutive effect of common stock equivalent options, warrants and other convertible securities, if any, as determined with the treasury stock accounting method. For the three months ended June 30, 2022, since there was a net loss from continuing operations, the Company excluded 2,035 shares underlying outstanding stock options and non-vested restricted shares from its diluted loss per share calculation, as inclusion of these convertible securities would have reduced the net loss per share. For the six months ended June 30, 2022, since there was a net loss from continuing operations, the Company excluded 1,802 shares underlying outstanding stock options and non-vested restricted shares, from its diluted loss per share calculation, as inclusion of these convertible securities would have reduced the net loss per share.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basic and diluted weighted average common shares outstanding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23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0"/>
                <w:szCs w:val="20"/>
                <w:color w:val="auto"/>
              </w:rPr>
            </w:pPr>
          </w:p>
        </w:tc>
        <w:tc>
          <w:tcPr>
            <w:tcW w:w="23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43"/>
        </w:trPr>
        <w:tc>
          <w:tcPr>
            <w:tcW w:w="6480" w:type="dxa"/>
            <w:vAlign w:val="bottom"/>
          </w:tcPr>
          <w:p>
            <w:pPr>
              <w:spacing w:after="0"/>
              <w:rPr>
                <w:sz w:val="21"/>
                <w:szCs w:val="21"/>
                <w:color w:val="auto"/>
              </w:rPr>
            </w:pPr>
          </w:p>
        </w:tc>
        <w:tc>
          <w:tcPr>
            <w:tcW w:w="15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1"/>
                <w:szCs w:val="21"/>
                <w:color w:val="auto"/>
              </w:rPr>
            </w:pPr>
          </w:p>
        </w:tc>
      </w:tr>
      <w:tr>
        <w:trPr>
          <w:trHeight w:val="223"/>
        </w:trPr>
        <w:tc>
          <w:tcPr>
            <w:tcW w:w="64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2022</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18,507</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Dilutive common shares issuable in connection with stock plans</w:t>
            </w: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outstanding—diluted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w:t>
        <w:tab/>
        <w:t>Inventories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Inventories are stated at the lower of cost or net realizable value using the first-in first-out costing method. Inventories as of June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include the costs of material, labor, and factory overhead. Components of inventories consist of the following: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40" w:type="dxa"/>
            <w:vAlign w:val="bottom"/>
          </w:tcPr>
          <w:p>
            <w:pPr>
              <w:spacing w:after="0"/>
              <w:rPr>
                <w:sz w:val="20"/>
                <w:szCs w:val="20"/>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5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4,164</w:t>
            </w: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5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r>
      <w:tr>
        <w:trPr>
          <w:trHeight w:val="223"/>
        </w:trPr>
        <w:tc>
          <w:tcPr>
            <w:tcW w:w="6740" w:type="dxa"/>
            <w:vAlign w:val="bottom"/>
          </w:tcPr>
          <w:p>
            <w:pPr>
              <w:spacing w:after="0"/>
              <w:rPr>
                <w:sz w:val="19"/>
                <w:szCs w:val="19"/>
                <w:color w:val="auto"/>
              </w:rPr>
            </w:pPr>
          </w:p>
        </w:tc>
        <w:tc>
          <w:tcPr>
            <w:tcW w:w="1520" w:type="dxa"/>
            <w:vAlign w:val="bottom"/>
          </w:tcPr>
          <w:p>
            <w:pPr>
              <w:jc w:val="right"/>
              <w:ind w:right="13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24,179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22,730</w:t>
            </w:r>
          </w:p>
        </w:tc>
      </w:tr>
      <w:tr>
        <w:trPr>
          <w:trHeight w:val="20"/>
        </w:trPr>
        <w:tc>
          <w:tcPr>
            <w:tcW w:w="67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6" w:name="page17"/>
    <w:bookmarkEnd w:id="16"/>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as of June 30, 2023 and December 31, 2022 consist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67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2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18,839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18,869</w:t>
            </w: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5,948</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Revenue-generating assets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72,527</w:t>
            </w:r>
          </w:p>
        </w:tc>
      </w:tr>
      <w:tr>
        <w:trPr>
          <w:trHeight w:val="237"/>
        </w:trPr>
        <w:tc>
          <w:tcPr>
            <w:tcW w:w="6760" w:type="dxa"/>
            <w:vAlign w:val="bottom"/>
          </w:tcPr>
          <w:p>
            <w:pPr>
              <w:ind w:left="20"/>
              <w:spacing w:after="0"/>
              <w:rPr>
                <w:sz w:val="20"/>
                <w:szCs w:val="20"/>
                <w:color w:val="auto"/>
              </w:rPr>
            </w:pPr>
            <w:r>
              <w:rPr>
                <w:rFonts w:ascii="Arial" w:cs="Arial" w:eastAsia="Arial" w:hAnsi="Arial"/>
                <w:sz w:val="18"/>
                <w:szCs w:val="18"/>
                <w:color w:val="auto"/>
              </w:rPr>
              <w:t>Office and computer equipment</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15,058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14,652</w:t>
            </w:r>
          </w:p>
        </w:tc>
      </w:tr>
      <w:tr>
        <w:trPr>
          <w:trHeight w:val="23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Motor vehicles</w:t>
            </w:r>
          </w:p>
        </w:tc>
        <w:tc>
          <w:tcPr>
            <w:tcW w:w="44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118,187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115,373</w:t>
            </w: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44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(62,255)</w:t>
            </w:r>
          </w:p>
        </w:tc>
      </w:tr>
      <w:tr>
        <w:trPr>
          <w:trHeight w:val="223"/>
        </w:trPr>
        <w:tc>
          <w:tcPr>
            <w:tcW w:w="67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53,118</w:t>
            </w:r>
          </w:p>
        </w:tc>
      </w:tr>
      <w:tr>
        <w:trPr>
          <w:trHeight w:val="20"/>
        </w:trPr>
        <w:tc>
          <w:tcPr>
            <w:tcW w:w="6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Depreciation expense was $3,404 and $3,243 for the three months ended June 30, 2023 and 2022, respectively and $6,772 and $6,308 for the six months ended June 30, 2023 and 2022,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Certain revenue-generating hardware assets are utilized by the Company in the delivery of the Company's airtime services, media and other content.</w:t>
      </w:r>
    </w:p>
    <w:p>
      <w:pPr>
        <w:spacing w:after="0" w:line="271"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Company’s products carry standard limited warranties that range from one to two years and vary by product. The warranty period begins on the date of retail purchase or lease by the original purchaser.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June 30, 2023 and December 31, 2022, the Company had accrued product warranty costs of $688 and $1,287,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The following table summarizes product warranty activity during 2023 and 2022:</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41"/>
        </w:trPr>
        <w:tc>
          <w:tcPr>
            <w:tcW w:w="7820" w:type="dxa"/>
            <w:vAlign w:val="bottom"/>
          </w:tcPr>
          <w:p>
            <w:pPr>
              <w:spacing w:after="0"/>
              <w:rPr>
                <w:sz w:val="24"/>
                <w:szCs w:val="24"/>
                <w:color w:val="auto"/>
              </w:rPr>
            </w:pPr>
          </w:p>
        </w:tc>
        <w:tc>
          <w:tcPr>
            <w:tcW w:w="28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Six Months Ended</w:t>
            </w:r>
          </w:p>
        </w:tc>
        <w:tc>
          <w:tcPr>
            <w:tcW w:w="560" w:type="dxa"/>
            <w:vAlign w:val="bottom"/>
          </w:tcPr>
          <w:p>
            <w:pPr>
              <w:spacing w:after="0"/>
              <w:rPr>
                <w:sz w:val="24"/>
                <w:szCs w:val="24"/>
                <w:color w:val="auto"/>
              </w:rPr>
            </w:pPr>
          </w:p>
        </w:tc>
      </w:tr>
      <w:tr>
        <w:trPr>
          <w:trHeight w:val="241"/>
        </w:trPr>
        <w:tc>
          <w:tcPr>
            <w:tcW w:w="78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r>
      <w:tr>
        <w:trPr>
          <w:trHeight w:val="230"/>
        </w:trPr>
        <w:tc>
          <w:tcPr>
            <w:tcW w:w="78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9"/>
                <w:szCs w:val="19"/>
                <w:color w:val="auto"/>
              </w:rPr>
            </w:pP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Charges to expense</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3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w:t>
            </w:r>
          </w:p>
        </w:tc>
        <w:tc>
          <w:tcPr>
            <w:tcW w:w="1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r>
      <w:tr>
        <w:trPr>
          <w:trHeight w:val="20"/>
        </w:trPr>
        <w:tc>
          <w:tcPr>
            <w:tcW w:w="7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219"/>
        <w:spacing w:after="0" w:line="263" w:lineRule="auto"/>
        <w:rPr>
          <w:sz w:val="20"/>
          <w:szCs w:val="20"/>
          <w:color w:val="auto"/>
        </w:rPr>
      </w:pPr>
      <w:r>
        <w:rPr>
          <w:rFonts w:ascii="Arial" w:cs="Arial" w:eastAsia="Arial" w:hAnsi="Arial"/>
          <w:sz w:val="18"/>
          <w:szCs w:val="18"/>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88" w:lineRule="exact"/>
        <w:rPr>
          <w:sz w:val="20"/>
          <w:szCs w:val="20"/>
          <w:color w:val="auto"/>
        </w:rPr>
      </w:pPr>
    </w:p>
    <w:p>
      <w:pPr>
        <w:ind w:left="1300" w:hanging="809"/>
        <w:spacing w:after="0" w:line="277" w:lineRule="auto"/>
        <w:tabs>
          <w:tab w:leader="none" w:pos="128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unrestricted assets or liabilities. The Company’s Level 1 assets are investments in money market mutual funds and United States treasuries.</w:t>
      </w:r>
    </w:p>
    <w:p>
      <w:pPr>
        <w:spacing w:after="0" w:line="197" w:lineRule="exact"/>
        <w:rPr>
          <w:sz w:val="20"/>
          <w:szCs w:val="20"/>
          <w:color w:val="auto"/>
        </w:rPr>
      </w:pPr>
    </w:p>
    <w:p>
      <w:pPr>
        <w:ind w:left="1300" w:hanging="809"/>
        <w:spacing w:after="0" w:line="277" w:lineRule="auto"/>
        <w:tabs>
          <w:tab w:leader="none" w:pos="1280" w:val="left"/>
        </w:tabs>
        <w:rPr>
          <w:sz w:val="20"/>
          <w:szCs w:val="20"/>
          <w:color w:val="auto"/>
        </w:rPr>
      </w:pPr>
      <w:r>
        <w:rPr>
          <w:rFonts w:ascii="Arial" w:cs="Arial" w:eastAsia="Arial" w:hAnsi="Arial"/>
          <w:sz w:val="18"/>
          <w:szCs w:val="18"/>
          <w:color w:val="auto"/>
        </w:rPr>
        <w:t>Level 2:</w:t>
        <w:tab/>
        <w:t>Quoted prices for similar assets or liabilities in active markets; or observable prices that are based on observable market data, based on directly or indirectly market-corroborated inputs. The Company has no Level 2 assets or liabilities.</w:t>
      </w:r>
    </w:p>
    <w:p>
      <w:pPr>
        <w:spacing w:after="0" w:line="197" w:lineRule="exact"/>
        <w:rPr>
          <w:sz w:val="20"/>
          <w:szCs w:val="20"/>
          <w:color w:val="auto"/>
        </w:rPr>
      </w:pPr>
    </w:p>
    <w:p>
      <w:pPr>
        <w:ind w:left="1280" w:hanging="809"/>
        <w:spacing w:after="0" w:line="277" w:lineRule="auto"/>
        <w:tabs>
          <w:tab w:leader="none" w:pos="1260" w:val="left"/>
        </w:tabs>
        <w:rPr>
          <w:sz w:val="20"/>
          <w:szCs w:val="20"/>
          <w:color w:val="auto"/>
        </w:rPr>
      </w:pPr>
      <w:r>
        <w:rPr>
          <w:rFonts w:ascii="Arial" w:cs="Arial" w:eastAsia="Arial" w:hAnsi="Arial"/>
          <w:sz w:val="18"/>
          <w:szCs w:val="18"/>
          <w:color w:val="auto"/>
        </w:rPr>
        <w:t>Level 3:</w:t>
        <w:tab/>
        <w:t>Unobservable inputs that are supported by little or no market activity, and are developed based on the best information available given the circumstances. The Company has no Level 3 assets.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Assets and liabilities measured at fair value are based on the valuation techniques identified in the table below.</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tables present financial assets and liabilities at June 30, 2023 and December 31, 2022 for which the Company measures fair value on a recurring basis, by level, within the fair value hierarchy:</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r>
      <w:tr>
        <w:trPr>
          <w:trHeight w:val="203"/>
        </w:trPr>
        <w:tc>
          <w:tcPr>
            <w:tcW w:w="20" w:type="dxa"/>
            <w:vAlign w:val="bottom"/>
          </w:tcPr>
          <w:p>
            <w:pPr>
              <w:spacing w:after="0"/>
              <w:rPr>
                <w:sz w:val="17"/>
                <w:szCs w:val="17"/>
                <w:color w:val="auto"/>
              </w:rPr>
            </w:pPr>
          </w:p>
        </w:tc>
        <w:tc>
          <w:tcPr>
            <w:tcW w:w="41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June 30, 2023</w:t>
            </w:r>
          </w:p>
        </w:tc>
        <w:tc>
          <w:tcPr>
            <w:tcW w:w="280" w:type="dxa"/>
            <w:vAlign w:val="bottom"/>
          </w:tcPr>
          <w:p>
            <w:pPr>
              <w:spacing w:after="0"/>
              <w:rPr>
                <w:sz w:val="17"/>
                <w:szCs w:val="17"/>
                <w:color w:val="auto"/>
              </w:rPr>
            </w:pPr>
          </w:p>
        </w:tc>
        <w:tc>
          <w:tcPr>
            <w:tcW w:w="10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6"/>
              </w:rPr>
              <w:t>Technique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80" w:type="dxa"/>
            <w:vAlign w:val="bottom"/>
            <w:gridSpan w:val="3"/>
          </w:tcPr>
          <w:p>
            <w:pPr>
              <w:ind w:left="320"/>
              <w:spacing w:after="0"/>
              <w:rPr>
                <w:sz w:val="20"/>
                <w:szCs w:val="20"/>
                <w:color w:val="auto"/>
              </w:rPr>
            </w:pPr>
            <w:r>
              <w:rPr>
                <w:rFonts w:ascii="Arial" w:cs="Arial" w:eastAsia="Arial" w:hAnsi="Arial"/>
                <w:sz w:val="18"/>
                <w:szCs w:val="18"/>
                <w:color w:val="auto"/>
              </w:rPr>
              <w:t>Money market mutual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56,966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56,966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tcPr>
          <w:p>
            <w:pPr>
              <w:ind w:left="1100"/>
              <w:spacing w:after="0"/>
              <w:rPr>
                <w:sz w:val="20"/>
                <w:szCs w:val="20"/>
                <w:color w:val="auto"/>
              </w:rPr>
            </w:pPr>
            <w:r>
              <w:rPr>
                <w:rFonts w:ascii="Arial" w:cs="Arial" w:eastAsia="Arial" w:hAnsi="Arial"/>
                <w:sz w:val="18"/>
                <w:szCs w:val="18"/>
                <w:color w:val="auto"/>
                <w:w w:val="81"/>
              </w:rPr>
              <w:t>(a)</w:t>
            </w:r>
          </w:p>
        </w:tc>
      </w:tr>
      <w:tr>
        <w:trPr>
          <w:trHeight w:val="30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r>
      <w:tr>
        <w:trPr>
          <w:trHeight w:val="194"/>
        </w:trPr>
        <w:tc>
          <w:tcPr>
            <w:tcW w:w="20" w:type="dxa"/>
            <w:vAlign w:val="bottom"/>
          </w:tcPr>
          <w:p>
            <w:pPr>
              <w:spacing w:after="0"/>
              <w:rPr>
                <w:sz w:val="16"/>
                <w:szCs w:val="16"/>
                <w:color w:val="auto"/>
              </w:rPr>
            </w:pPr>
          </w:p>
        </w:tc>
        <w:tc>
          <w:tcPr>
            <w:tcW w:w="41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December 31, 2022</w:t>
            </w:r>
          </w:p>
        </w:tc>
        <w:tc>
          <w:tcPr>
            <w:tcW w:w="280" w:type="dxa"/>
            <w:vAlign w:val="bottom"/>
          </w:tcPr>
          <w:p>
            <w:pPr>
              <w:spacing w:after="0"/>
              <w:rPr>
                <w:sz w:val="16"/>
                <w:szCs w:val="16"/>
                <w:color w:val="auto"/>
              </w:rPr>
            </w:pPr>
          </w:p>
        </w:tc>
        <w:tc>
          <w:tcPr>
            <w:tcW w:w="102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ind w:left="140"/>
              <w:spacing w:after="0" w:line="194" w:lineRule="exact"/>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ind w:left="140"/>
              <w:spacing w:after="0" w:line="194" w:lineRule="exact"/>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Technique</w:t>
            </w: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180" w:type="dxa"/>
            <w:vAlign w:val="bottom"/>
            <w:gridSpan w:val="3"/>
          </w:tcPr>
          <w:p>
            <w:pPr>
              <w:ind w:left="320"/>
              <w:spacing w:after="0"/>
              <w:rPr>
                <w:sz w:val="20"/>
                <w:szCs w:val="20"/>
                <w:color w:val="auto"/>
              </w:rPr>
            </w:pPr>
            <w:r>
              <w:rPr>
                <w:rFonts w:ascii="Arial" w:cs="Arial" w:eastAsia="Arial" w:hAnsi="Arial"/>
                <w:sz w:val="18"/>
                <w:szCs w:val="18"/>
                <w:color w:val="auto"/>
              </w:rPr>
              <w:t>Money market mutual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30,977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30,977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ind w:left="1100"/>
              <w:spacing w:after="0"/>
              <w:rPr>
                <w:sz w:val="20"/>
                <w:szCs w:val="20"/>
                <w:color w:val="auto"/>
              </w:rPr>
            </w:pPr>
            <w:r>
              <w:rPr>
                <w:rFonts w:ascii="Arial" w:cs="Arial" w:eastAsia="Arial" w:hAnsi="Arial"/>
                <w:sz w:val="18"/>
                <w:szCs w:val="18"/>
                <w:color w:val="auto"/>
                <w:w w:val="81"/>
              </w:rPr>
              <w:t>(a)</w:t>
            </w:r>
          </w:p>
        </w:tc>
      </w:tr>
      <w:tr>
        <w:trPr>
          <w:trHeight w:val="243"/>
        </w:trPr>
        <w:tc>
          <w:tcPr>
            <w:tcW w:w="20" w:type="dxa"/>
            <w:vAlign w:val="bottom"/>
            <w:shd w:val="clear" w:color="auto" w:fill="CCEEFF"/>
          </w:tcPr>
          <w:p>
            <w:pPr>
              <w:spacing w:after="0"/>
              <w:rPr>
                <w:sz w:val="21"/>
                <w:szCs w:val="21"/>
                <w:color w:val="auto"/>
              </w:rPr>
            </w:pPr>
          </w:p>
        </w:tc>
        <w:tc>
          <w:tcPr>
            <w:tcW w:w="4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United States treasuries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1"/>
              </w:rPr>
              <w:t>(a)</w:t>
            </w: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Market approach—prices and other relevant information generated by market transactions involving identical or comparable assets.</w:t>
      </w:r>
    </w:p>
    <w:p>
      <w:pPr>
        <w:spacing w:after="0" w:line="1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carrying amount of certain financial instruments approximates fair value due to their short-term, highly liquid nature. These instruments include cash and cash equivalents, accounts receivable, accounts payable, and accrued expenses. The carrying amount of the Company's operating and financing lease liabilities approximates fair value based on currently available quoted rates of similarly structured borrowings.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and Recorded at Fair Value on a Nonrecurring Basis</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non-financial assets, such as goodwill, intangible assets, and other long-lived assets resulting from business combinations, are measured at fair value using income approach valuation methodologies at the date of acquisition and subsequently re-measured if indications of impairment exist. There was no impairment of the Company's non-financial assets noted during the six months ended June 30, 2023. The Company does not have any liabilities that are recorded at fair value on a non-recurring basis.</w:t>
      </w:r>
    </w:p>
    <w:p>
      <w:pPr>
        <w:spacing w:after="0" w:line="210"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changes in the carrying amount of goodwill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36"/>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4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42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Intangible Assets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0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60" w:type="dxa"/>
            <w:vAlign w:val="bottom"/>
            <w:gridSpan w:val="2"/>
          </w:tcPr>
          <w:p>
            <w:pPr>
              <w:ind w:left="500"/>
              <w:spacing w:after="0"/>
              <w:rPr>
                <w:sz w:val="20"/>
                <w:szCs w:val="20"/>
                <w:color w:val="auto"/>
              </w:rPr>
            </w:pPr>
            <w:r>
              <w:rPr>
                <w:rFonts w:ascii="Arial" w:cs="Arial" w:eastAsia="Arial" w:hAnsi="Arial"/>
                <w:sz w:val="18"/>
                <w:szCs w:val="18"/>
                <w:color w:val="auto"/>
                <w:w w:val="93"/>
              </w:rPr>
              <w:t>The changes in the carrying amount of intangible assets during the six months ended June 30, 2023 are as follows:</w:t>
            </w: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36"/>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420" w:type="dxa"/>
            <w:vAlign w:val="bottom"/>
            <w:shd w:val="clear" w:color="auto" w:fill="CCEEFF"/>
          </w:tcPr>
          <w:p>
            <w:pPr>
              <w:jc w:val="right"/>
              <w:ind w:right="258"/>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Amortization expense</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Intangible assets acquired in asset acquisition</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9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420" w:type="dxa"/>
            <w:vAlign w:val="bottom"/>
            <w:shd w:val="clear" w:color="auto" w:fill="CCEEFF"/>
          </w:tcPr>
          <w:p>
            <w:pPr>
              <w:jc w:val="right"/>
              <w:ind w:right="258"/>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Intangible assets arose from the acquisition of KVH Media Group (acquired as Headland Media Limited) in May 2013. These intangible assets are being amortized on a straight-line basis over the estimated useful life of 10 years for acquired subscriber relationships. The intangible assets were recorded in pounds sterling and fluctuations in exchange rates cause these amounts to increase or decrease from time to time.</w:t>
      </w:r>
    </w:p>
    <w:p>
      <w:pPr>
        <w:spacing w:after="0" w:line="19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 xml:space="preserve">In January 2017, the Company completed the acquisition of certain subscriber relationships from a third party. This acquisition did not meet the definition of a business under ASC 2017-01, </w:t>
      </w:r>
      <w:r>
        <w:rPr>
          <w:rFonts w:ascii="Arial" w:cs="Arial" w:eastAsia="Arial" w:hAnsi="Arial"/>
          <w:sz w:val="17"/>
          <w:szCs w:val="17"/>
          <w:i w:val="1"/>
          <w:iCs w:val="1"/>
          <w:color w:val="auto"/>
        </w:rPr>
        <w:t>Business Combinations (Topic 805)-Clarifying the Definition of a Business</w:t>
      </w:r>
      <w:r>
        <w:rPr>
          <w:rFonts w:ascii="Arial" w:cs="Arial" w:eastAsia="Arial" w:hAnsi="Arial"/>
          <w:sz w:val="17"/>
          <w:szCs w:val="17"/>
          <w:color w:val="auto"/>
        </w:rPr>
        <w:t>, which the Company adopted on October 1, 2016.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As of June 30, 2023, the carrying value of the intangible assets acquired in the asset acquisition was $485. As the acquisition did not represent a business combination, the contingent consideration arrangement is recognized only when the contingency is resolved and the consideration is paid or becomes payable. The amounts payable under the contingent consideration arrangement, if any, will be included in the measurement of the cost of the acquired subscriber relationships. An additional $23 and $28 of consideration was earned under the contingent consideration arrangement during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9" w:name="page20"/>
    <w:bookmarkEnd w:id="19"/>
    <w:p>
      <w:pPr>
        <w:jc w:val="both"/>
        <w:ind w:firstLine="486"/>
        <w:spacing w:after="0" w:line="271" w:lineRule="auto"/>
        <w:rPr>
          <w:sz w:val="20"/>
          <w:szCs w:val="20"/>
          <w:color w:val="auto"/>
        </w:rPr>
      </w:pPr>
      <w:r>
        <w:rPr>
          <w:rFonts w:ascii="Arial" w:cs="Arial" w:eastAsia="Arial" w:hAnsi="Arial"/>
          <w:sz w:val="18"/>
          <w:szCs w:val="18"/>
          <w:color w:val="auto"/>
        </w:rPr>
        <w:t>Acquired intangible assets are subject to amortization. The following table summarizes acquired intangible assets at June 30, 2023 and December 31, 2022, respectively:</w:t>
      </w:r>
    </w:p>
    <w:tbl>
      <w:tblPr>
        <w:tblLayout w:type="fixed"/>
        <w:tblInd w:w="2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132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w w:val="94"/>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w w:val="95"/>
              </w:rPr>
              <w:t>Accumulated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w w:val="98"/>
              </w:rPr>
              <w:t>Net Carrying</w:t>
            </w:r>
          </w:p>
        </w:tc>
        <w:tc>
          <w:tcPr>
            <w:tcW w:w="0" w:type="dxa"/>
            <w:vAlign w:val="bottom"/>
          </w:tcPr>
          <w:p>
            <w:pPr>
              <w:spacing w:after="0"/>
              <w:rPr>
                <w:sz w:val="1"/>
                <w:szCs w:val="1"/>
                <w:color w:val="auto"/>
              </w:rPr>
            </w:pPr>
          </w:p>
        </w:tc>
      </w:tr>
      <w:tr>
        <w:trPr>
          <w:trHeight w:val="239"/>
        </w:trPr>
        <w:tc>
          <w:tcPr>
            <w:tcW w:w="67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Amortization</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Subscriber relationships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rights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content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Intellectual property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Subscriber relationships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Distribution rights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Proprietary content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Amortization expense related to intangible assets was $55 and $125 for the three months ended June 30, 2023 and 2022, respectively, and $148 and $319 for the six months ended June 30, 2023 and 2022, respectively. Amortization expense was categorized as general and administrative expense.</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2023, the total weighted average remaining useful lives of the definite-lived intangible assets was 0.3 years.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gridSpan w:val="2"/>
          </w:tcPr>
          <w:p>
            <w:pPr>
              <w:spacing w:after="0"/>
              <w:rPr>
                <w:sz w:val="20"/>
                <w:szCs w:val="20"/>
                <w:color w:val="auto"/>
              </w:rPr>
            </w:pPr>
            <w:r>
              <w:rPr>
                <w:rFonts w:ascii="Arial" w:cs="Arial" w:eastAsia="Arial" w:hAnsi="Arial"/>
                <w:sz w:val="18"/>
                <w:szCs w:val="18"/>
                <w:color w:val="auto"/>
              </w:rPr>
              <w:t>Estimated future amortization expense remaining at June 30, 2023 for intangible assets acquired was as follows:</w:t>
            </w: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Years ending December 31,</w:t>
            </w:r>
          </w:p>
        </w:tc>
        <w:tc>
          <w:tcPr>
            <w:tcW w:w="6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9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3"/>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9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2024</w:t>
            </w:r>
          </w:p>
        </w:tc>
        <w:tc>
          <w:tcPr>
            <w:tcW w:w="6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7"/>
        </w:trPr>
        <w:tc>
          <w:tcPr>
            <w:tcW w:w="2100" w:type="dxa"/>
            <w:vAlign w:val="bottom"/>
          </w:tcPr>
          <w:p>
            <w:pPr>
              <w:ind w:left="20"/>
              <w:spacing w:after="0"/>
              <w:rPr>
                <w:sz w:val="20"/>
                <w:szCs w:val="20"/>
                <w:color w:val="auto"/>
              </w:rPr>
            </w:pPr>
            <w:r>
              <w:rPr>
                <w:rFonts w:ascii="Arial" w:cs="Arial" w:eastAsia="Arial" w:hAnsi="Arial"/>
                <w:sz w:val="18"/>
                <w:szCs w:val="18"/>
                <w:color w:val="auto"/>
              </w:rPr>
              <w:t>2026</w:t>
            </w:r>
          </w:p>
        </w:tc>
        <w:tc>
          <w:tcPr>
            <w:tcW w:w="6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6"/>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9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2028 and thereafter</w:t>
            </w:r>
          </w:p>
        </w:tc>
        <w:tc>
          <w:tcPr>
            <w:tcW w:w="9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61"/>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future amortization expense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For definite-lived intangible assets, the Company assesses the carrying value of these assets whenever events or circumstances indicate that the carrying value may not be recoverable. Recoverability of assets to be held and used is measured by comparing the carrying amount of an asset, or asset group, to the future undiscounted cash flows expected to be generated by the asset, or asset group. There were no events or changes in circumstances during the six months ended June 30, 2023 which indicated that an assessment of the impairment of goodwill and intangible assets was required.</w:t>
      </w:r>
    </w:p>
    <w:p>
      <w:pPr>
        <w:spacing w:after="0" w:line="180"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56"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Disaggregation of Revenue for Continuing Operations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net sales from contracts with customers for the three and six months ended June 30, 2023 and 2022:</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27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r>
      <w:tr>
        <w:trPr>
          <w:trHeight w:val="230"/>
        </w:trPr>
        <w:tc>
          <w:tcPr>
            <w:tcW w:w="4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transferred at point in time</w:t>
            </w:r>
          </w:p>
        </w:tc>
        <w:tc>
          <w:tcPr>
            <w:tcW w:w="10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12,083</w:t>
            </w: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Product, transferred over time</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28,746</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27,933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54,521</w:t>
            </w:r>
          </w:p>
        </w:tc>
      </w:tr>
      <w:tr>
        <w:trPr>
          <w:trHeight w:val="237"/>
        </w:trPr>
        <w:tc>
          <w:tcPr>
            <w:tcW w:w="4340" w:type="dxa"/>
            <w:vAlign w:val="bottom"/>
          </w:tcPr>
          <w:p>
            <w:pPr>
              <w:ind w:left="220"/>
              <w:spacing w:after="0"/>
              <w:rPr>
                <w:sz w:val="20"/>
                <w:szCs w:val="20"/>
                <w:color w:val="auto"/>
              </w:rPr>
            </w:pPr>
            <w:r>
              <w:rPr>
                <w:rFonts w:ascii="Arial" w:cs="Arial" w:eastAsia="Arial" w:hAnsi="Arial"/>
                <w:sz w:val="18"/>
                <w:szCs w:val="18"/>
                <w:b w:val="1"/>
                <w:bCs w:val="1"/>
                <w:color w:val="auto"/>
              </w:rPr>
              <w:t>Total net sales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34,171</w:t>
            </w:r>
          </w:p>
        </w:tc>
        <w:tc>
          <w:tcPr>
            <w:tcW w:w="11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34,553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67,860</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67,704</w:t>
            </w:r>
          </w:p>
        </w:tc>
      </w:tr>
      <w:tr>
        <w:trPr>
          <w:trHeight w:val="20"/>
        </w:trPr>
        <w:tc>
          <w:tcPr>
            <w:tcW w:w="4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recognized during the three months ended June 30, 2023 and 2022 from amounts included in contract liabilities at the beginning of the period was $846 and $621, respectively. Revenue recognized during the six months ended June 30, 2023 and 2022 from amounts included in contract liabilities at the beginning of the period was $1,293 and $1,073, respectively.</w:t>
      </w:r>
    </w:p>
    <w:p>
      <w:pPr>
        <w:spacing w:after="0" w:line="2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product sales, the delivery of the Company’s performance obligations are generally transferred to the customer, and associated revenue is recognized, at a point in time, with the exception of certain VSAT contracts which are transferred to customers over time. For service sales, the delivery of the Company’s performance obligations are transferred to the customer, and associated revenue is recognized, over time. The Company's performance is impacted by the levels of activity in the marine and land mobile markets, among others. Performance in any particular period could be impacted by the timing of sales to certain large customers.</w:t>
      </w:r>
    </w:p>
    <w:p>
      <w:pPr>
        <w:spacing w:after="0" w:line="2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primarily manufactures and distributes a comprehensive family of mobile satellite antenna products and services that provide access to the Internet, television, and VoIP services while on the move. Product sales accounted for 16% and 19% of the Company's consolidated net sales for the three months ended June 30, 2023 and 2022, respectively, and 15% and 19% of the Company's consolidated net sales for the six months ended June 30, 2023 and 2022, respectively. Service sales of VSAT Broadband airtime service accounted for 79% and 75% of the Company's consolidated net sales for the three months ended June 30, 2023 and 2022, respectively, and 80% and 74% of the Company's consolidated net sales for the six months ended June 30, 2023 and 2022, respectively. The balance of service sales are comprised of distribution of commercially licensed entertainment and news, product repairs, and extended warranty sales.</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other single product class accounts for 10% or more of the Company's consolidated net sales.</w:t>
      </w:r>
    </w:p>
    <w:p>
      <w:pPr>
        <w:spacing w:after="0" w:line="25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Company operates in a number of major geographic areas, including internationally. Revenues from international locations primarily include Singapore, Canada, European Union countries and other European countries, countries in Africa, Asia/Pacific and the Middle East, and India. Revenues are based upon customer location and internationally represented 66% and 61% of consolidated net sales for the three months ended June 30, 2023 and 2022, respectively, and 66% and 61% of consolidated net sales for the six months ended June 30, 2023 and 2022, respectively. Sales to Singapore customers represented 19% and 16% of the Company's consolidated net sales for the three months ended June 30, 2023 and 2022, respectively. No other individual foreign country represented 10% or more of the Company's consolidated net sales for the three months ended June 30, 2023 and 2022. Sales to Singapore customers represented 18% and 16% of the Company's consolidated net sales for the six months ended June 30, 2023 and 2022, respectively. No other individual foreign country represented 10% or more of the Company's consolidated net sales for the six months ended June 30, 2023 and 2022.</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June 30, 2023 and December 31, 2022, the long-lived tangible assets related to the Company’s international subsidiaries were less than 10% of the Company’s long-lived 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Credit Concentrations</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jc w:val="both"/>
        <w:ind w:firstLine="486"/>
        <w:spacing w:after="0" w:line="279" w:lineRule="auto"/>
        <w:rPr>
          <w:sz w:val="20"/>
          <w:szCs w:val="20"/>
          <w:color w:val="auto"/>
        </w:rPr>
      </w:pPr>
      <w:r>
        <w:rPr>
          <w:rFonts w:ascii="Arial" w:cs="Arial" w:eastAsia="Arial" w:hAnsi="Arial"/>
          <w:sz w:val="17"/>
          <w:szCs w:val="17"/>
          <w:color w:val="auto"/>
        </w:rPr>
        <w:t>No single customer accounted for 10% or more of consolidated net sales for the six months ended June 30, 2023 or 2022. One customer accounted for 22% of accounts receivable at June 30, 2023. Two customers accounted for approximately 16% and 12%, respectively, of accounts receivable at December 31, 2022. One customer accounted for 59% and 66% of long-term accounts receivable included in other non-current assets on the consolidated balance sheets related to sales-type leases at June 30, 2023 and December 31, 2022, respectively.</w:t>
      </w:r>
    </w:p>
    <w:p>
      <w:pPr>
        <w:spacing w:after="0" w:line="19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Contract Balances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provides the balance sheet location and amounts of contract assets, or unbilled accounts receivable, and contract liabilities, or deferred revenue, from contracts with customers as of June 30,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Contract Balance Type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Balance Sheet Location</w:t>
            </w:r>
          </w:p>
        </w:tc>
        <w:tc>
          <w:tcPr>
            <w:tcW w:w="320" w:type="dxa"/>
            <w:vAlign w:val="bottom"/>
          </w:tcPr>
          <w:p>
            <w:pPr>
              <w:spacing w:after="0"/>
              <w:rPr>
                <w:sz w:val="17"/>
                <w:szCs w:val="17"/>
                <w:color w:val="auto"/>
              </w:rPr>
            </w:pPr>
          </w:p>
        </w:tc>
        <w:tc>
          <w:tcPr>
            <w:tcW w:w="184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deferred costs</w:t>
            </w: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contract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r>
      <w:tr>
        <w:trPr>
          <w:trHeight w:val="257"/>
        </w:trPr>
        <w:tc>
          <w:tcPr>
            <w:tcW w:w="20" w:type="dxa"/>
            <w:vAlign w:val="bottom"/>
          </w:tcPr>
          <w:p>
            <w:pPr>
              <w:spacing w:after="0"/>
              <w:rPr>
                <w:sz w:val="22"/>
                <w:szCs w:val="22"/>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Non-current portion of deferred costs</w:t>
            </w:r>
          </w:p>
        </w:tc>
        <w:tc>
          <w:tcPr>
            <w:tcW w:w="2940" w:type="dxa"/>
            <w:vAlign w:val="bottom"/>
            <w:gridSpan w:val="2"/>
          </w:tcPr>
          <w:p>
            <w:pPr>
              <w:spacing w:after="0"/>
              <w:rPr>
                <w:sz w:val="20"/>
                <w:szCs w:val="20"/>
                <w:color w:val="auto"/>
              </w:rPr>
            </w:pPr>
            <w:r>
              <w:rPr>
                <w:rFonts w:ascii="Arial" w:cs="Arial" w:eastAsia="Arial" w:hAnsi="Arial"/>
                <w:sz w:val="18"/>
                <w:szCs w:val="18"/>
                <w:color w:val="auto"/>
              </w:rPr>
              <w:t>Non-current contract assets</w:t>
            </w:r>
          </w:p>
        </w:tc>
        <w:tc>
          <w:tcPr>
            <w:tcW w:w="3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3,033</w:t>
            </w:r>
          </w:p>
        </w:tc>
      </w:tr>
      <w:tr>
        <w:trPr>
          <w:trHeight w:val="256"/>
        </w:trPr>
        <w:tc>
          <w:tcPr>
            <w:tcW w:w="20" w:type="dxa"/>
            <w:vAlign w:val="bottom"/>
            <w:shd w:val="clear" w:color="auto" w:fill="CCEEFF"/>
          </w:tcPr>
          <w:p>
            <w:pPr>
              <w:spacing w:after="0"/>
              <w:rPr>
                <w:sz w:val="22"/>
                <w:szCs w:val="22"/>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deferred revenues</w:t>
            </w: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3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r>
      <w:tr>
        <w:trPr>
          <w:trHeight w:val="243"/>
        </w:trPr>
        <w:tc>
          <w:tcPr>
            <w:tcW w:w="20" w:type="dxa"/>
            <w:vAlign w:val="bottom"/>
          </w:tcPr>
          <w:p>
            <w:pPr>
              <w:spacing w:after="0"/>
              <w:rPr>
                <w:sz w:val="21"/>
                <w:szCs w:val="21"/>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Non-current portion of deferred revenues</w:t>
            </w:r>
          </w:p>
        </w:tc>
        <w:tc>
          <w:tcPr>
            <w:tcW w:w="2940" w:type="dxa"/>
            <w:vAlign w:val="bottom"/>
            <w:gridSpan w:val="2"/>
          </w:tcPr>
          <w:p>
            <w:pPr>
              <w:spacing w:after="0"/>
              <w:rPr>
                <w:sz w:val="20"/>
                <w:szCs w:val="20"/>
                <w:color w:val="auto"/>
              </w:rPr>
            </w:pPr>
            <w:r>
              <w:rPr>
                <w:rFonts w:ascii="Arial" w:cs="Arial" w:eastAsia="Arial" w:hAnsi="Arial"/>
                <w:sz w:val="18"/>
                <w:szCs w:val="18"/>
                <w:color w:val="auto"/>
              </w:rPr>
              <w:t>Long-term contract liabilities</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4,315</w:t>
            </w:r>
          </w:p>
        </w:tc>
      </w:tr>
    </w:tbl>
    <w:p>
      <w:pPr>
        <w:spacing w:after="0" w:line="337" w:lineRule="exact"/>
        <w:rPr>
          <w:sz w:val="20"/>
          <w:szCs w:val="20"/>
          <w:color w:val="auto"/>
        </w:rPr>
      </w:pPr>
    </w:p>
    <w:p>
      <w:pPr>
        <w:jc w:val="both"/>
        <w:ind w:firstLine="486"/>
        <w:spacing w:after="0" w:line="303" w:lineRule="auto"/>
        <w:rPr>
          <w:sz w:val="20"/>
          <w:szCs w:val="20"/>
          <w:color w:val="auto"/>
        </w:rPr>
      </w:pPr>
      <w:r>
        <w:rPr>
          <w:rFonts w:ascii="Arial" w:cs="Arial" w:eastAsia="Arial" w:hAnsi="Arial"/>
          <w:sz w:val="16"/>
          <w:szCs w:val="16"/>
          <w:color w:val="auto"/>
        </w:rPr>
        <w:t>*Management notes that the remaining “Contract liabilities” balance not included in the above table (which as of June 30, 2023 and December 31, 2022 is $1,602 and $1,365, respectively) relates to deferred income unaffiliated with the Company’s primary revenue streams, the majority of which relates to our content subscription business. These values are therefore excluded from the contract assets and contract liabilities from contracts with customers.</w:t>
      </w:r>
    </w:p>
    <w:p>
      <w:pPr>
        <w:spacing w:after="0" w:line="16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There were no material changes to contract asset balances for the six months ended June 30, 2023 as a result of changes in estimates or impairments. The change in the contract liability balance from December 31, 2022 to June 30, 2023 was primarily due to the increase in upfront support billings received in the first six months of 2023 in comparison to revenues recognized in the prior period from historical support billings.</w:t>
      </w:r>
    </w:p>
    <w:p>
      <w:pPr>
        <w:spacing w:after="0" w:line="200"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Company’s effective tax rate from continuing operations for the three and six months ended June 30, 2023 was 4.7% and 6.6%, respectively, compared with 510.9% and (14.5)% for the corresponding period in the prior year. The effective income tax rate is based on estimated income for the year, the estimated composition of the income in different jurisdictions and discrete adjustments, if any, in the applicable periods, including retroactive changes in tax legislation, settlements of tax audits or assessments, and the resolution or identification of tax position uncertainties.</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the three and six months ended June 30, 2023 and 2022, the effective tax rates from continuing operations differed from the statutory tax rate primarily due to the Company maintaining a valuation allowance reserve on its U.S. deferred tax assets, discrete tax adjustments and the composition of income from foreign jurisdictions taxed at lower rates.</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June 30, 2023 and December 31, 2022, the Company had reserves for uncertain tax positions of $674 and $637, respectively. There were no material changes during the six months ended June 30, 2023 to the Company’s reserve for uncertain tax positions. The Company estimates that it is reasonably possible that the balance of unrecognized tax benefits as of June 30, 2023 may decrease $37 in the next twelve months as a result of a lapse of statutes of limitations and settlements with taxing authorities.</w:t>
      </w:r>
    </w:p>
    <w:p>
      <w:pPr>
        <w:spacing w:after="0" w:line="21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2019,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2" w:name="page23"/>
    <w:bookmarkEnd w:id="22"/>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25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has operating leases for office facilities, equipment, and satellite service capacity and related equipment. Lease expense from continuing operations was $422 and $537 for the three months ended June 30, 2023 and 2022, respectively, and was $874 and $1,081 for the six months ended June 30, 2023 and 2022, respectively. Short-term operating lease costs were $15 and $43 for the three months ended June 30, 2023 and 2022, respectively, and were $40 and $98 for the six months ended June 30, 2023 and 2022, respectively. Maturities of lease liabilities as of June 30, 2023 under operating leases having an initial or remaining non-cancelable term of one year or more are as follows: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820</w:t>
            </w: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611</w:t>
            </w:r>
          </w:p>
        </w:tc>
      </w:tr>
      <w:tr>
        <w:trPr>
          <w:trHeight w:val="236"/>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2026</w:t>
            </w:r>
          </w:p>
        </w:tc>
        <w:tc>
          <w:tcPr>
            <w:tcW w:w="8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48</w:t>
            </w:r>
          </w:p>
        </w:tc>
      </w:tr>
      <w:tr>
        <w:trPr>
          <w:trHeight w:val="243"/>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8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r>
      <w:tr>
        <w:trPr>
          <w:trHeight w:val="223"/>
        </w:trPr>
        <w:tc>
          <w:tcPr>
            <w:tcW w:w="8940" w:type="dxa"/>
            <w:vAlign w:val="bottom"/>
          </w:tcPr>
          <w:p>
            <w:pPr>
              <w:ind w:left="340"/>
              <w:spacing w:after="0"/>
              <w:rPr>
                <w:sz w:val="20"/>
                <w:szCs w:val="20"/>
                <w:color w:val="auto"/>
              </w:rPr>
            </w:pPr>
            <w:r>
              <w:rPr>
                <w:rFonts w:ascii="Arial" w:cs="Arial" w:eastAsia="Arial" w:hAnsi="Arial"/>
                <w:sz w:val="18"/>
                <w:szCs w:val="18"/>
                <w:color w:val="auto"/>
              </w:rPr>
              <w:t>Total minimum lease payments</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1,653</w:t>
            </w:r>
          </w:p>
        </w:tc>
      </w:tr>
      <w:tr>
        <w:trPr>
          <w:trHeight w:val="270"/>
        </w:trPr>
        <w:tc>
          <w:tcPr>
            <w:tcW w:w="8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(75)</w:t>
            </w:r>
          </w:p>
        </w:tc>
      </w:tr>
      <w:tr>
        <w:trPr>
          <w:trHeight w:val="237"/>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net minimum operating lease payments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1,578</w:t>
            </w:r>
          </w:p>
        </w:tc>
      </w:tr>
      <w:tr>
        <w:trPr>
          <w:trHeight w:val="22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installments of obligation under current-operating lease liabilities</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1,207</w:t>
            </w:r>
          </w:p>
        </w:tc>
      </w:tr>
      <w:tr>
        <w:trPr>
          <w:trHeight w:val="248"/>
        </w:trPr>
        <w:tc>
          <w:tcPr>
            <w:tcW w:w="8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Obligations under long-term operating lease liabilities, excluding current installments</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371</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3"/>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 (years)</w:t>
            </w:r>
          </w:p>
        </w:tc>
        <w:tc>
          <w:tcPr>
            <w:tcW w:w="8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8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5.50 %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25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enters into leases with certain customers primarily for the TracPhone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18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current portion of the net investment in these leases was $4,145 as of June 30, 2023 and the non-current portion of the net investment in these leases was $4,584 as of June 30, 2023. The current portion of the net investment in the leases is included in accounts receivable, net of allowance for doubtful accounts on the accompanying consolidated balance sheets and the non-current portion of the net investment in these leases is included in other non-current assets on the accompanying consolidated balance sheets. Interest income from sales-type leases was $174 and $193 during the three months ended June 30, 2023 and 2022, respectively, and was $342 and $400 during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tbl>
      <w:tblPr>
        <w:tblLayout w:type="fixed"/>
        <w:tblInd w:w="40" w:type="dxa"/>
        <w:tblCellMar>
          <w:top w:w="0" w:type="dxa"/>
          <w:left w:w="0" w:type="dxa"/>
          <w:bottom w:w="0" w:type="dxa"/>
          <w:right w:w="0" w:type="dxa"/>
        </w:tblCellMar>
      </w:tblPr>
      <w:tr>
        <w:trPr>
          <w:trHeight w:val="230"/>
        </w:trPr>
        <w:tc>
          <w:tcPr>
            <w:tcW w:w="8980" w:type="dxa"/>
            <w:vAlign w:val="bottom"/>
          </w:tcPr>
          <w:p>
            <w:pPr>
              <w:ind w:left="460"/>
              <w:spacing w:after="0"/>
              <w:rPr>
                <w:sz w:val="20"/>
                <w:szCs w:val="20"/>
                <w:color w:val="auto"/>
              </w:rPr>
            </w:pPr>
            <w:r>
              <w:rPr>
                <w:rFonts w:ascii="Arial" w:cs="Arial" w:eastAsia="Arial" w:hAnsi="Arial"/>
                <w:sz w:val="18"/>
                <w:szCs w:val="18"/>
                <w:color w:val="auto"/>
              </w:rPr>
              <w:t>The future undiscounted cash flows from these leases as of June 30, 2023 are:</w:t>
            </w: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8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3,306</w:t>
            </w:r>
          </w:p>
        </w:tc>
      </w:tr>
      <w:tr>
        <w:trPr>
          <w:trHeight w:val="236"/>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2026</w:t>
            </w: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4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9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w:t>
            </w:r>
          </w:p>
        </w:tc>
        <w:tc>
          <w:tcPr>
            <w:tcW w:w="9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undiscounted cash flows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w:t>
            </w:r>
          </w:p>
        </w:tc>
      </w:tr>
      <w:tr>
        <w:trPr>
          <w:trHeight w:val="270"/>
        </w:trPr>
        <w:tc>
          <w:tcPr>
            <w:tcW w:w="8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payments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Difference between undiscounted cash flows and discounted cash flows</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1"/>
        </w:trPr>
        <w:tc>
          <w:tcPr>
            <w:tcW w:w="8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2021, the Company began entering into three-year leases for its TracPhone VSAT systems, in which ownership of the hardware does not transfer to the lessee by the end of the lease term. As a result, and in light of other factors indicated in ASC 842, these leases are classified as operating leases.</w:t>
      </w:r>
    </w:p>
    <w:p>
      <w:pPr>
        <w:spacing w:after="0" w:line="15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June 30, 2023, the gross costs and accumulated depreciation associated with these operating leases are included in revenue generating assets and amounted to $1,880 and $704, respectively. They are depreciated on a straight-line basis over a five-year estimated useful life. Depreciation expense for these assets was $94 and $188 for the three and six months ended June 30, 2023, respectively.</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Lease revenue recognized was $139 and $277 for the three and six months ended June 30, 2023, respectively, in service sales in the consolidated statements of operations.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980" w:type="dxa"/>
            <w:vAlign w:val="bottom"/>
          </w:tcPr>
          <w:p>
            <w:pPr>
              <w:ind w:left="460"/>
              <w:spacing w:after="0"/>
              <w:rPr>
                <w:sz w:val="20"/>
                <w:szCs w:val="20"/>
                <w:color w:val="auto"/>
              </w:rPr>
            </w:pPr>
            <w:r>
              <w:rPr>
                <w:rFonts w:ascii="Arial" w:cs="Arial" w:eastAsia="Arial" w:hAnsi="Arial"/>
                <w:sz w:val="18"/>
                <w:szCs w:val="18"/>
                <w:color w:val="auto"/>
                <w:w w:val="97"/>
              </w:rPr>
              <w:t>As of June 30, 2023, minimum future lease payments to be recognized on the operating leases are as follows:</w:t>
            </w: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2024</w:t>
            </w:r>
          </w:p>
        </w:tc>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8980" w:type="dxa"/>
            <w:vAlign w:val="bottom"/>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r>
      <w:tr>
        <w:trPr>
          <w:trHeight w:val="20"/>
        </w:trPr>
        <w:tc>
          <w:tcPr>
            <w:tcW w:w="8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4" w:name="page25"/>
    <w:bookmarkEnd w:id="24"/>
    <w:p>
      <w:pPr>
        <w:ind w:left="540" w:hanging="532"/>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third quarter of 2022, the Company sold its inertial navigation business. The Company determined that the sale met the requirements for reporting as discontinued operations in accordance with Accounting Standards Codification (ASC) 205-20. There were no assets or liabilities of the inertial navigation business as of December 31, 2022 or June 30, 2023. Please see Note 1 for further discussion.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presents a reconciliation of the major financial line items constituting the results for discontinued operations to the net income from discontinued operations, net of tax, presented separately in the Company's consolidated statement of operations for the three and six months ended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6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June 30,</w:t>
            </w:r>
          </w:p>
        </w:tc>
      </w:tr>
      <w:tr>
        <w:trPr>
          <w:trHeight w:val="243"/>
        </w:trPr>
        <w:tc>
          <w:tcPr>
            <w:tcW w:w="67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2022</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6,959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14,766</w:t>
            </w:r>
          </w:p>
        </w:tc>
      </w:tr>
      <w:tr>
        <w:trPr>
          <w:trHeight w:val="229"/>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37"/>
        </w:trPr>
        <w:tc>
          <w:tcPr>
            <w:tcW w:w="6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15,227</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Costs of product sales</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5,917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11,228</w:t>
            </w: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of service sales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22"/>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Sales, marketing and support</w:t>
            </w:r>
          </w:p>
        </w:tc>
        <w:tc>
          <w:tcPr>
            <w:tcW w:w="1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r>
      <w:tr>
        <w:trPr>
          <w:trHeight w:val="230"/>
        </w:trPr>
        <w:tc>
          <w:tcPr>
            <w:tcW w:w="6760" w:type="dxa"/>
            <w:vAlign w:val="bottom"/>
          </w:tcPr>
          <w:p>
            <w:pPr>
              <w:ind w:left="680"/>
              <w:spacing w:after="0"/>
              <w:rPr>
                <w:sz w:val="20"/>
                <w:szCs w:val="20"/>
                <w:color w:val="auto"/>
              </w:rPr>
            </w:pPr>
            <w:r>
              <w:rPr>
                <w:rFonts w:ascii="Arial" w:cs="Arial" w:eastAsia="Arial" w:hAnsi="Arial"/>
                <w:sz w:val="18"/>
                <w:szCs w:val="18"/>
                <w:color w:val="auto"/>
              </w:rPr>
              <w:t>Loss from discontinued operations before income tax expense</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(1,749)</w:t>
            </w:r>
          </w:p>
        </w:tc>
      </w:tr>
      <w:tr>
        <w:trPr>
          <w:trHeight w:val="23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tax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(1,255)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on discontinued operations</w:t>
            </w:r>
          </w:p>
        </w:tc>
        <w:tc>
          <w:tcPr>
            <w:tcW w:w="18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Net loss from discontinued operations, net of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Net loss from discontinued operations per common share</w:t>
            </w: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63"/>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04"/>
        </w:trPr>
        <w:tc>
          <w:tcPr>
            <w:tcW w:w="676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2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(0.07)</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(0.09)</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6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18,507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6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18,564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18,507</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supplemental cash flow information of the discontinued operations: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r>
      <w:tr>
        <w:trPr>
          <w:trHeight w:val="230"/>
        </w:trPr>
        <w:tc>
          <w:tcPr>
            <w:tcW w:w="6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6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r>
      <w:tr>
        <w:trPr>
          <w:trHeight w:val="256"/>
        </w:trPr>
        <w:tc>
          <w:tcPr>
            <w:tcW w:w="6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Cash used in operating activities - discontinued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(3,967)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3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 investing activities - discontinued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6720" w:type="dxa"/>
            <w:vAlign w:val="bottom"/>
          </w:tcPr>
          <w:p>
            <w:pPr>
              <w:ind w:left="480"/>
              <w:spacing w:after="0"/>
              <w:rPr>
                <w:sz w:val="20"/>
                <w:szCs w:val="20"/>
                <w:color w:val="auto"/>
              </w:rPr>
            </w:pPr>
            <w:r>
              <w:rPr>
                <w:rFonts w:ascii="Arial" w:cs="Arial" w:eastAsia="Arial" w:hAnsi="Arial"/>
                <w:sz w:val="18"/>
                <w:szCs w:val="18"/>
                <w:color w:val="auto"/>
                <w:w w:val="99"/>
              </w:rPr>
              <w:t>The following table presents non-cash expenses from discontinued operations:</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5"/>
        </w:trPr>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6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June 30,</w:t>
            </w:r>
          </w:p>
        </w:tc>
      </w:tr>
      <w:tr>
        <w:trPr>
          <w:trHeight w:val="243"/>
        </w:trPr>
        <w:tc>
          <w:tcPr>
            <w:tcW w:w="67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w w:val="93"/>
              </w:rPr>
              <w:t>Compensation expense related to stock-based awards and employee stock purchase plan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73" w:right="359" w:bottom="1440" w:gutter="0" w:footer="0" w:header="0"/>
        </w:sectPr>
      </w:pPr>
    </w:p>
    <w:bookmarkStart w:id="26" w:name="page27"/>
    <w:bookmarkEnd w:id="26"/>
    <w:p>
      <w:pPr>
        <w:ind w:right="1140"/>
        <w:spacing w:after="0" w:line="470"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Introduction</w:t>
      </w:r>
    </w:p>
    <w:p>
      <w:pPr>
        <w:spacing w:after="0" w:line="3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i w:val="1"/>
          <w:iCs w:val="1"/>
          <w:color w:val="auto"/>
        </w:rPr>
        <w:t>The statements included in this quarterly report on Form 10-Q, other than statements of historical fact, are forward-looking statements. Examples of forward-looking statements include statements regarding our future financial results, operating results, business strategies, projected costs, products and services, competitive positions and plans, customer preferences, consumer trends, anticipated product development, and objectives of management for future operations. In some cases, forward-looking statements can be identified by terminology such as “may,” “will,” “should,” “would,” “expects,” “plans,” “anticipates,” “believes,” “estimates,” “predicts,” “potential,” “continue,” or the negative of these terms or other comparable terminology. Any expectations based on these forward-looking statements are subject to risks and uncertainties and other important factors, including those discussed in the section entitled “Risk Factors” in Item 1A of Part I of our annual report on Form 10-K for the year ended December 31, 2022 as updated in Item 1A of Part II of this quarterly report on Form10-Q. These and many other factors could affect our future financial and operating results and could cause actual results to differ materially from expectations based on forward-looking statements made in this document or elsewhere by us or on our behalf. For example, our expectations regarding certain items as a percentage of sales assume that we will achieve our anticipated sales goals. The following discussion and analysis should be read in conjunction with our consolidated interim financial statements and related notes appearing elsewhere in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design, develop, manufacture and market mobile connectivity products and services for the marine and land mobile markets. We manufacture and sell our solutions in a number of major geographic areas, including internationally. We generate a majority of our revenues from various international locations, primarily consisting of Singapore, Canada, countries in South America, European Union countries and other European countries, countries in Africa, Asia/Pacific and the Middle East, and India.</w:t>
      </w:r>
    </w:p>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offer satellite communications products and services. Our satellite-only and hybrid products enable marine customers to receive data, Voice over Internet Protocol (VoIP), and value-added services via satellite, cellular, and shore-based Wi-Fi networks onboard commercial, leisure, and military/government vessels. In addition, the Company’s in-motion television terminals permit customers to receive live digital television via regional satellite services in marine vessels, recreational vehicles, buses and automobiles. We sell our products through an extensive international network of dealers and distributors. We also sell and lease products to service providers and end users.</w:t>
      </w:r>
    </w:p>
    <w:p>
      <w:pPr>
        <w:spacing w:after="0" w:line="21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service sales primarily represent revenue earned from satellite internet airtime services. We provide, for monthly fixed fees and per-usage fees, satellite connectivity encompassing broadband internet, data and VoIP services, to our TracNet H-series and TracPhone V-HTS series customers via our global HTS network. Revenue from our cellular airtime service has increasingly supplemented, and we expect will continue to supplement, our satellite-only airtime revenue following the mid-2022 launch of the KVH ONE hybrid network and TracNet H-series terminals. This product and service combination integrates global satellite service with KVH-provided cellular service in more than 150 countries, along with shore-based Wi-Fi access. The May 2023 introduction of the KVH ONE OpenNet Program expanded access to KVH's global HTS network and airtime services to non-KVH terminals for the first time. Our service sales also include the distribution of entertainment, including news, sports, music, and movies, to commercial customers in the maritime, hotel, and retail markets through KVH Media Group, along with supplemental value-added cybersecurity, email, and crew internet services. In addition, we earn monthly usage fees for third-party satellite connectivity for VoIP, data and Internet services to our Inmarsat and Iridium customers who choose to activate their subscriptions with us. Service sales also include sales from product repairs and extended warranty sales.</w:t>
      </w:r>
    </w:p>
    <w:p>
      <w:pPr>
        <w:spacing w:after="0" w:line="1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marine leisure business is highly seasonal, and seasonality can also impact our commercial marine business. Historically, we have generated the majority of our marine leisure product revenues during the first and second quarters of each year, and these revenues typically decline in the third and fourth quarters of each year, compared to the first two quarters. Temporary suspensions of our airtime services typically increase in the third and fourth quarters of each year as boats are placed out of service during the winter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Disposition of Business</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On April 29, 2022, KVH Media Group Limited, our wholly owned subsidiary, sold its subsidiary KVH Media Group Entertainment Limited for net cash proceeds of approximately $2.4 million. This transaction did not meet the criteria as a discontinued operation under ASC 205-20. We recorded a gain on the sale of approximately $0.6 million, which is recorded in other income, net in the accompanying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Transition and Restructuring</w:t>
      </w:r>
    </w:p>
    <w:p>
      <w:pPr>
        <w:spacing w:after="0" w:line="25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March 7, 2022, we announced that our President and Chief Executive Officer, Martin Kits van Heyningen, was retiring from his executive and Board roles after more than 40 years of service and assuming a consulting position with us. We incurred approximately $0.5 million of costs associated with the management transition through March 31, 2022, including a separation payment, consulting fees and health insurance coverage for Mr. Kits van Heyningen, as well as professional and advisory fees. As of June 30, 2023, all payments related to the additional fees had been completed.</w:t>
      </w:r>
    </w:p>
    <w:p>
      <w:pPr>
        <w:spacing w:after="0" w:line="1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March 2022, we also restructured our operations to reduce costs and better pursue a more focused strategy. We reduced our workforce by approximately 10% and began incurring reduced expenses from these actions beginning in the second quarter of 2022. Approximately $2.2 million of severance payments, other employee benefits, and legal and advisory fees were incurred for the six months ended March 31, 2022. For the six months ended June 30, 2023, we did not incur any additional expenses associated with this restructuring. We also modified impacted employee's stock option and restricted stock awards.</w:t>
      </w:r>
    </w:p>
    <w:p>
      <w:pPr>
        <w:spacing w:after="0" w:line="21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During the third quarter of 2022, we restructured our foreign operations by closing our India and Cyprus offices and our Denmark warehouse to reduce costs. All costs associated with the severance payments, other employee benefits, and legal and advisory fees were incurred in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25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May 2022, we entered into executive employment agreements with each of Brent C. Bruun, Roger A. Kuebel, Felise Feingold and Robert Balog in order to retain their services and provide them with certain benefits in the event that we terminate the executive’s employment without cause (as defined in the agreement) or the executive terminates his or her employment for good reason (as defined in the agreement) (either such termination, a “Qualifying Termination”), including following a change of control. The terms of the agreements are substantially identical except as to title, salary, target bonus and reporting responsibilities. The agreements provided that, if the executive continued to serve as an employee through December 31, 2022 (the “Retention Date”), we would pay the executive a retention bonus equal to 75% of the executive’s base salary at the agreement date, and we would accelerate the vesting of the executive’s equity awards that would otherwise have vested in the twelve months after the Retention Date.</w:t>
      </w:r>
    </w:p>
    <w:p>
      <w:pPr>
        <w:spacing w:after="0" w:line="19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October 11, 2022, we entered into an amendment to the employment agreement with Mr. Bruun that, among other things, increased his annual base salary to $448,360 per year, retroactive to July 1, 2022, increased his target annual incentive compensation for the second half of 2022 to 80% of his base salary (without changing his target annual incentive compensation for the first half of 2022), extended his Retention Date from December 31, 2022 to December 31, 2023, which effectively extended the period during which Mr. Bruun must remain employed by us in order to earn his retention bonus, and modified the amount of the retention bonus from 75% of his base salary in effect on May 2, 2022 to 75% of the highest base salary in effect for Mr. Bruun on or before the date he becomes entitled to receive the retention bonus or the “Partial Retention Bonus” (as defined in the employment agreement). If a Qualifying Termination occurs before December 31, 2023, Mr. Bruun will receive a pro rata portion of the retention bonus. If in connection with such a termination he becomes entitled to receive the change in control severance payments and benefits, he will also become entitled to receive the full retention bonus, and the Retention Date will be the later of the date of such change in control or such termination of employment. The amendment did not modify the terms of the employment agreement relating to acceleration of vesting of certain equity awards if Mr. Bruun remains employed by us through December 31, 2022.</w:t>
      </w:r>
    </w:p>
    <w:p>
      <w:pPr>
        <w:spacing w:after="0" w:line="20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January 2023, we paid out all contracted benefits to Roger A. Kuebel, Felise Feingold and Robert Balog as the conditions of their agreements were satisfied on December 31, 2022. As of June 30, 2023, we have accrued approximately $0.2 million for the retention bonus payable to Brent Bruun.</w:t>
      </w:r>
    </w:p>
    <w:p>
      <w:pPr>
        <w:spacing w:after="0" w:line="15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to the amendment to Mr. Bruun’s employment agreement, the Compensation Committee also granted Mr. Bruun a restricted stock award and a non-statutory stock option, which together had an aggregate grant date fair value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approximately $100,000. The restricted stock award and the non-statutory stock option have terms that are materially consistent with the previously disclosed terms of similar grants to our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252"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During the six months ended June 30, 2023, we continued to experience delays in the availability and delivery of certain raw material components. We also experienced increased raw material costs, which we expect to continue throughout 2023. We are continuing to monitor global developments and are prepared to implement any actions that we determine to be necessary to sustain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25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operate in a number of major geographic areas across the globe. We generate our international net sales, based upon customer location, primarily from customers located in Singapore, Canada, countries in South America, European Union countries and other European countries, as well as countries in Africa, Asia/Pacific and the Middle East, and India. International revenues represented 66% and 61% of our consolidated net sales for the three months ended June 30, 2023 and 2022, respectively, and 66% and 61% of our consolidated net sales for the six months ended June 30, 2023 and 2022 and 2022, respectively. Sales to Singapore customers represented 19% and 16% of our consolidated net sales for the three months ended June 30, 2023 and 2022, respectively. No other individual foreign country represented 10% or more of our consolidated net sales for the three months ended June 30, 2023 and 2022. Sales to Singapore customers represented 18% and 16% of our consolidated net sales for the six months ended June 30, 2023 and 2022, respectively. No other individual foreign country represented 10% or more of our consolidated net sales for the six months ended June 30, 2023 and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interim financial statements, which have been prepared in accordance with accounting principles generally accepted in the United States. The preparation of these interim financial statements requires us to make estimates and judgments that affect the reported amounts of assets and liabilities, revenues and expenses, and related disclosure at the date of our interim financial statements. Our significant accounting policies are summarized in Note 1 to the consolidated financial statements in our annual report on Form 10-K for the year ended December 31, 2022.</w:t>
      </w:r>
    </w:p>
    <w:p>
      <w:pPr>
        <w:spacing w:after="0" w:line="2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Critical accounting estimates are those estimates made that involve a significant level of estimation uncertainty and have had or are reasonably likely to have an impact on our statement of operations. As described in our annual report on Form 10-K for the year ended December 31, 2022, our accounting policies for goodwill, intangible assets, and other long-lived assets are the estimates most critical to an understanding and evaluation of our consolidated financial statements. We have reviewed our accounting policies and critical accounting estimates and determined that these remain our most critical accounting policies and estimates for the six months ended June 30, 2023.</w:t>
      </w:r>
    </w:p>
    <w:p>
      <w:pPr>
        <w:spacing w:after="0" w:line="21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Readers should refer to our annual report on Form 10-K for the year ended December 31, 2022 under “Management’s Discussion and Analysis of Financial Condition and Results of Operation—Critical Accounting Estimates” for descriptions of these policies and estimates, as well as the notes to the consolidated interim financial statements included elsewhere within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for the periods indicated, certain financial data relating to our continuing operations expressed as a percentage of net sales: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284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2"/>
              </w:rPr>
              <w:t>Three Months Ended</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r>
      <w:tr>
        <w:trPr>
          <w:trHeight w:val="241"/>
        </w:trPr>
        <w:tc>
          <w:tcPr>
            <w:tcW w:w="41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r>
      <w:tr>
        <w:trPr>
          <w:trHeight w:val="229"/>
        </w:trPr>
        <w:tc>
          <w:tcPr>
            <w:tcW w:w="4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w w:val="84"/>
              </w:rPr>
              <w:t>2022</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9"/>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Product</w:t>
            </w:r>
          </w:p>
        </w:tc>
        <w:tc>
          <w:tcPr>
            <w:tcW w:w="640" w:type="dxa"/>
            <w:vAlign w:val="bottom"/>
          </w:tcPr>
          <w:p>
            <w:pPr>
              <w:jc w:val="right"/>
              <w:spacing w:after="0"/>
              <w:rPr>
                <w:sz w:val="20"/>
                <w:szCs w:val="20"/>
                <w:color w:val="auto"/>
              </w:rPr>
            </w:pPr>
            <w:r>
              <w:rPr>
                <w:rFonts w:ascii="Arial" w:cs="Arial" w:eastAsia="Arial" w:hAnsi="Arial"/>
                <w:sz w:val="18"/>
                <w:szCs w:val="18"/>
                <w:color w:val="auto"/>
              </w:rPr>
              <w:t>15.9 %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19.5 %</w:t>
            </w:r>
          </w:p>
        </w:tc>
      </w:tr>
      <w:tr>
        <w:trPr>
          <w:trHeight w:val="230"/>
        </w:trPr>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80.5</w:t>
            </w:r>
          </w:p>
        </w:tc>
      </w:tr>
      <w:tr>
        <w:trPr>
          <w:trHeight w:val="237"/>
        </w:trPr>
        <w:tc>
          <w:tcPr>
            <w:tcW w:w="5200" w:type="dxa"/>
            <w:vAlign w:val="bottom"/>
            <w:gridSpan w:val="2"/>
          </w:tcPr>
          <w:p>
            <w:pPr>
              <w:ind w:left="680"/>
              <w:spacing w:after="0"/>
              <w:rPr>
                <w:sz w:val="20"/>
                <w:szCs w:val="20"/>
                <w:color w:val="auto"/>
              </w:rPr>
            </w:pPr>
            <w:r>
              <w:rPr>
                <w:rFonts w:ascii="Arial" w:cs="Arial" w:eastAsia="Arial" w:hAnsi="Arial"/>
                <w:sz w:val="18"/>
                <w:szCs w:val="18"/>
                <w:color w:val="auto"/>
              </w:rPr>
              <w:t>Net sales</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100.0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100.0</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100.0</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and expenses:</w:t>
            </w: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0"/>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Costs of product sales</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15.0</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15.7</w:t>
            </w:r>
          </w:p>
        </w:tc>
      </w:tr>
      <w:tr>
        <w:trPr>
          <w:trHeight w:val="229"/>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Costs of service sales</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44.0</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44.5</w:t>
            </w:r>
          </w:p>
        </w:tc>
      </w:tr>
      <w:tr>
        <w:trPr>
          <w:trHeight w:val="237"/>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8.3</w:t>
            </w:r>
          </w:p>
        </w:tc>
      </w:tr>
      <w:tr>
        <w:trPr>
          <w:trHeight w:val="23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marketing and support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16.4</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18.7</w:t>
            </w: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20.6</w:t>
            </w:r>
          </w:p>
        </w:tc>
      </w:tr>
      <w:tr>
        <w:trPr>
          <w:trHeight w:val="237"/>
        </w:trPr>
        <w:tc>
          <w:tcPr>
            <w:tcW w:w="5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103.0</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107.8</w:t>
            </w:r>
          </w:p>
        </w:tc>
      </w:tr>
      <w:tr>
        <w:trPr>
          <w:trHeight w:val="223"/>
        </w:trPr>
        <w:tc>
          <w:tcPr>
            <w:tcW w:w="4160" w:type="dxa"/>
            <w:vAlign w:val="bottom"/>
          </w:tcPr>
          <w:p>
            <w:pPr>
              <w:ind w:left="680"/>
              <w:spacing w:after="0"/>
              <w:rPr>
                <w:sz w:val="20"/>
                <w:szCs w:val="20"/>
                <w:color w:val="auto"/>
              </w:rPr>
            </w:pPr>
            <w:r>
              <w:rPr>
                <w:rFonts w:ascii="Arial" w:cs="Arial" w:eastAsia="Arial" w:hAnsi="Arial"/>
                <w:sz w:val="18"/>
                <w:szCs w:val="18"/>
                <w:color w:val="auto"/>
              </w:rPr>
              <w:t>Income (loss) from operations</w:t>
            </w:r>
          </w:p>
        </w:tc>
        <w:tc>
          <w:tcPr>
            <w:tcW w:w="10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(7.8)</w:t>
            </w:r>
          </w:p>
        </w:tc>
      </w:tr>
      <w:tr>
        <w:trPr>
          <w:trHeight w:val="229"/>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r>
      <w:tr>
        <w:trPr>
          <w:trHeight w:val="237"/>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180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1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168"/>
        </w:trPr>
        <w:tc>
          <w:tcPr>
            <w:tcW w:w="4160" w:type="dxa"/>
            <w:vAlign w:val="bottom"/>
          </w:tcPr>
          <w:p>
            <w:pPr>
              <w:ind w:left="680"/>
              <w:spacing w:after="0" w:line="168" w:lineRule="exact"/>
              <w:rPr>
                <w:sz w:val="20"/>
                <w:szCs w:val="20"/>
                <w:color w:val="auto"/>
              </w:rPr>
            </w:pPr>
            <w:r>
              <w:rPr>
                <w:rFonts w:ascii="Arial" w:cs="Arial" w:eastAsia="Arial" w:hAnsi="Arial"/>
                <w:sz w:val="18"/>
                <w:szCs w:val="18"/>
                <w:color w:val="auto"/>
              </w:rPr>
              <w:t>Income (loss) from continuing operations</w:t>
            </w:r>
          </w:p>
        </w:tc>
        <w:tc>
          <w:tcPr>
            <w:tcW w:w="10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30"/>
        </w:trPr>
        <w:tc>
          <w:tcPr>
            <w:tcW w:w="5200" w:type="dxa"/>
            <w:vAlign w:val="bottom"/>
            <w:gridSpan w:val="2"/>
          </w:tcPr>
          <w:p>
            <w:pPr>
              <w:ind w:left="680"/>
              <w:spacing w:after="0"/>
              <w:rPr>
                <w:sz w:val="20"/>
                <w:szCs w:val="20"/>
                <w:color w:val="auto"/>
              </w:rPr>
            </w:pPr>
            <w:r>
              <w:rPr>
                <w:rFonts w:ascii="Arial" w:cs="Arial" w:eastAsia="Arial" w:hAnsi="Arial"/>
                <w:sz w:val="18"/>
                <w:szCs w:val="18"/>
                <w:color w:val="auto"/>
              </w:rPr>
              <w:t>before income tax expense</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ind w:left="500"/>
              <w:spacing w:after="0"/>
              <w:rPr>
                <w:sz w:val="20"/>
                <w:szCs w:val="20"/>
                <w:color w:val="auto"/>
              </w:rPr>
            </w:pPr>
            <w:r>
              <w:rPr>
                <w:rFonts w:ascii="Arial" w:cs="Arial" w:eastAsia="Arial" w:hAnsi="Arial"/>
                <w:sz w:val="18"/>
                <w:szCs w:val="18"/>
                <w:color w:val="auto"/>
              </w:rPr>
              <w:t>(5.7)</w:t>
            </w: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r>
      <w:tr>
        <w:trPr>
          <w:trHeight w:val="236"/>
        </w:trPr>
        <w:tc>
          <w:tcPr>
            <w:tcW w:w="5200" w:type="dxa"/>
            <w:vAlign w:val="bottom"/>
            <w:gridSpan w:val="2"/>
          </w:tcPr>
          <w:p>
            <w:pPr>
              <w:ind w:left="680"/>
              <w:spacing w:after="0"/>
              <w:rPr>
                <w:sz w:val="20"/>
                <w:szCs w:val="20"/>
                <w:color w:val="auto"/>
              </w:rPr>
            </w:pPr>
            <w:r>
              <w:rPr>
                <w:rFonts w:ascii="Arial" w:cs="Arial" w:eastAsia="Arial" w:hAnsi="Arial"/>
                <w:sz w:val="18"/>
                <w:szCs w:val="18"/>
                <w:color w:val="auto"/>
              </w:rPr>
              <w:t>Net income (loss) from continuing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w w:val="90"/>
              </w:rPr>
              <w:t>(0.5)%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ind w:left="500"/>
              <w:spacing w:after="0"/>
              <w:rPr>
                <w:sz w:val="20"/>
                <w:szCs w:val="20"/>
                <w:color w:val="auto"/>
              </w:rPr>
            </w:pPr>
            <w:r>
              <w:rPr>
                <w:rFonts w:ascii="Arial" w:cs="Arial" w:eastAsia="Arial" w:hAnsi="Arial"/>
                <w:sz w:val="18"/>
                <w:szCs w:val="18"/>
                <w:color w:val="auto"/>
                <w:w w:val="94"/>
              </w:rPr>
              <w:t>(6.5)%</w:t>
            </w:r>
          </w:p>
        </w:tc>
      </w:tr>
      <w:tr>
        <w:trPr>
          <w:trHeight w:val="20"/>
        </w:trPr>
        <w:tc>
          <w:tcPr>
            <w:tcW w:w="4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and 2022</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net sales for the three months ended June 30, 2023 and 2022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b w:val="1"/>
                <w:bCs w:val="1"/>
                <w:color w:val="auto"/>
                <w:w w:val="90"/>
              </w:rPr>
              <w:t>Change</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20" w:type="dxa"/>
            <w:vAlign w:val="bottom"/>
            <w:gridSpan w:val="7"/>
          </w:tcPr>
          <w:p>
            <w:pPr>
              <w:ind w:left="80"/>
              <w:spacing w:after="0" w:line="169" w:lineRule="exact"/>
              <w:rPr>
                <w:sz w:val="20"/>
                <w:szCs w:val="20"/>
                <w:color w:val="auto"/>
              </w:rPr>
            </w:pPr>
            <w:r>
              <w:rPr>
                <w:rFonts w:ascii="Arial" w:cs="Arial" w:eastAsia="Arial" w:hAnsi="Arial"/>
                <w:sz w:val="18"/>
                <w:szCs w:val="18"/>
                <w:b w:val="1"/>
                <w:bCs w:val="1"/>
                <w:color w:val="auto"/>
                <w:w w:val="95"/>
              </w:rPr>
              <w:t>For the three months ended June</w:t>
            </w:r>
          </w:p>
        </w:tc>
        <w:tc>
          <w:tcPr>
            <w:tcW w:w="320" w:type="dxa"/>
            <w:vAlign w:val="bottom"/>
          </w:tcPr>
          <w:p>
            <w:pPr>
              <w:spacing w:after="0"/>
              <w:rPr>
                <w:sz w:val="14"/>
                <w:szCs w:val="14"/>
                <w:color w:val="auto"/>
              </w:rPr>
            </w:pPr>
          </w:p>
        </w:tc>
        <w:tc>
          <w:tcPr>
            <w:tcW w:w="1380" w:type="dxa"/>
            <w:vAlign w:val="bottom"/>
            <w:gridSpan w:val="2"/>
            <w:vMerge w:val="restart"/>
          </w:tcPr>
          <w:p>
            <w:pPr>
              <w:jc w:val="center"/>
              <w:ind w:left="250"/>
              <w:spacing w:after="0"/>
              <w:rPr>
                <w:sz w:val="20"/>
                <w:szCs w:val="20"/>
                <w:color w:val="auto"/>
              </w:rPr>
            </w:pPr>
            <w:r>
              <w:rPr>
                <w:rFonts w:ascii="Arial" w:cs="Arial" w:eastAsia="Arial" w:hAnsi="Arial"/>
                <w:sz w:val="18"/>
                <w:szCs w:val="18"/>
                <w:b w:val="1"/>
                <w:bCs w:val="1"/>
                <w:color w:val="auto"/>
                <w:w w:val="86"/>
              </w:rPr>
              <w:t>2023 vs. 2022</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87"/>
              </w:rPr>
              <w:t>30,</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gridSpan w:val="5"/>
          </w:tcPr>
          <w:p>
            <w:pPr>
              <w:ind w:left="140"/>
              <w:spacing w:after="0"/>
              <w:rPr>
                <w:sz w:val="20"/>
                <w:szCs w:val="20"/>
                <w:color w:val="auto"/>
              </w:rPr>
            </w:pPr>
            <w:r>
              <w:rPr>
                <w:rFonts w:ascii="Arial" w:cs="Arial" w:eastAsia="Arial" w:hAnsi="Arial"/>
                <w:sz w:val="18"/>
                <w:szCs w:val="18"/>
                <w:b w:val="1"/>
                <w:bCs w:val="1"/>
                <w:i w:val="1"/>
                <w:iCs w:val="1"/>
                <w:color w:val="auto"/>
              </w:rPr>
              <w:t>(dollars in thousands)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5,425</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6,620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(1,195)</w:t>
            </w: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4"/>
        </w:trPr>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28,746</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5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34,171</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00" w:space="160"/>
            <w:col w:w="5180"/>
          </w:cols>
          <w:pgMar w:left="320" w:top="769" w:right="339" w:bottom="1440" w:gutter="0" w:footer="0" w:header="0"/>
          <w:type w:val="continuous"/>
        </w:sectPr>
      </w:pPr>
    </w:p>
    <w:p>
      <w:pPr>
        <w:spacing w:after="0" w:line="110"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8"/>
          <w:szCs w:val="18"/>
          <w:color w:val="auto"/>
        </w:rPr>
        <w:t>Net sales decreased by $0.4 million, or 1%, for the three months ended June 30, 2023 as compared to the three months ended June 30, 2022. Product sales decreased by $1.2 million, or 18%, to $5.4 million for the three months ended June 30, 2023 from $6.6 million for the three months ended June 30, 2022. The decrease in product sales was primarily due to a $1.8 million decrease in TracVision product sales, partially offset by a $0.3 million increase in Starlink product sales and a $0.2 million increase in VSAT Broadband product sales. The decline in TracVision product sales is primarily due to increasing competition from low-cost, low-earth orbit, or LEO, and cellular streaming solutions.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0" w:name="page31"/>
    <w:bookmarkEnd w:id="30"/>
    <w:p>
      <w:pPr>
        <w:jc w:val="both"/>
        <w:ind w:firstLine="486"/>
        <w:spacing w:after="0" w:line="263" w:lineRule="auto"/>
        <w:rPr>
          <w:sz w:val="20"/>
          <w:szCs w:val="20"/>
          <w:color w:val="auto"/>
        </w:rPr>
      </w:pPr>
      <w:r>
        <w:rPr>
          <w:rFonts w:ascii="Arial" w:cs="Arial" w:eastAsia="Arial" w:hAnsi="Arial"/>
          <w:sz w:val="18"/>
          <w:szCs w:val="18"/>
          <w:color w:val="auto"/>
        </w:rPr>
        <w:t>Service sales increased by $0.8 million, or 3%, to $28.7 million for the three months ended June 30, 2023 from $27.9 million for the three months ended June 30, 2022. The increase was primarily due to a $1.1 million increase in our VSAT airtime sales, partially offset by a $0.2 million decrease in our content service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Sales</w:t>
      </w:r>
    </w:p>
    <w:p>
      <w:pPr>
        <w:spacing w:after="0" w:line="225" w:lineRule="exact"/>
        <w:rPr>
          <w:sz w:val="20"/>
          <w:szCs w:val="20"/>
          <w:color w:val="auto"/>
        </w:rPr>
      </w:pPr>
    </w:p>
    <w:p>
      <w:pPr>
        <w:jc w:val="both"/>
        <w:ind w:firstLine="181"/>
        <w:spacing w:after="0" w:line="259" w:lineRule="auto"/>
        <w:rPr>
          <w:sz w:val="20"/>
          <w:szCs w:val="20"/>
          <w:color w:val="auto"/>
        </w:rPr>
      </w:pPr>
      <w:r>
        <w:rPr>
          <w:rFonts w:ascii="Arial" w:cs="Arial" w:eastAsia="Arial" w:hAnsi="Arial"/>
          <w:sz w:val="18"/>
          <w:szCs w:val="18"/>
          <w:color w:val="auto"/>
        </w:rPr>
        <w:t>Costs of sales consists of costs of product sales and costs of service sales. Costs of sales increased by $1.8 million, or 9%, in the three months ended June 30, 2023 to $22.2 million from $20.4 million in the three months ended June 30, 2022. The increase in costs of sales was driven by a $1.4 million increase in costs of product sales and a $0.3 million increase in costs of service sales. As a percentage of net sales, costs of sales were 65% and 59% for the three months ended June 30, 2023 and 2022, respectively.</w:t>
      </w:r>
    </w:p>
    <w:p>
      <w:pPr>
        <w:spacing w:after="0" w:line="214"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costs of product sales consist primarily of materials, manufacturing overhead, and direct labor used to produce our products. For the three months ended June 30, 2023, costs of product sales increased by $1.4 million, or 28%, to $6.6 million from $5.2 million in the three months ended June 30, 2022, primarily due to a $1.5 million increase in our marine cost of product sales. As a percentage of product sales, costs of product sales were 122% and 79% for the three months ended June 30, 2023 and 2022, respectively. Cost of product sales increased as a percentage of product sales primarily due to three factors: a $0.4 million unfavorable reclassification of first quarter costs from costs of service sales to costs of product sales, a $0.3 million increase in the excess and obsolescence reserve and $0.4 million of higher unit component costs.</w:t>
      </w:r>
    </w:p>
    <w:p>
      <w:pPr>
        <w:spacing w:after="0" w:line="20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costs of service sales consist primarily of satellite service capacity, depreciation, service network overhead expense associated with our VSAT Broadband network infrastructure, direct network service labor, Inmarsat service costs, product installation costs, media materials and distribution costs, and service repair materials. For the three months ended June 30, 2023, costs of service sales increased by $0.3 million, or 2%, to $15.5 million from $15.2 million for the three months ended June 30, 2022, primarily due to a $0.3 million increase in VSAT airtime costs of service sales. The increase in airtime cost of sales is primarily related to capacity increases necessary to support growth in our airtime subscriber base. As a percentage of service sales, costs of service sales were 54% for both the three months ended June 30, 2023 and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195"/>
        <w:spacing w:after="0" w:line="257" w:lineRule="auto"/>
        <w:rPr>
          <w:sz w:val="20"/>
          <w:szCs w:val="20"/>
          <w:color w:val="auto"/>
        </w:rPr>
      </w:pPr>
      <w:r>
        <w:rPr>
          <w:rFonts w:ascii="Arial" w:cs="Arial" w:eastAsia="Arial" w:hAnsi="Arial"/>
          <w:sz w:val="18"/>
          <w:szCs w:val="18"/>
          <w:color w:val="auto"/>
        </w:rPr>
        <w:t>Research and development expense consists of direct labor, materials, external consultants, and related overhead costs that support our internally funded product development and product sustaining engineering activities. Research and development expense for the three months ended June 30, 2023 decreased by $0.2 million, or 8%, to $2.4 million from $2.6 million for the three months ended June 30, 2022. The decrease primarily resulted from a $0.2 million decrease in expensed materials. As a percentage of net sales, research and development expense was 7% and 8% for the three months ended June 30, 2023 and 2022, respectively.</w:t>
      </w:r>
    </w:p>
    <w:p>
      <w:pPr>
        <w:spacing w:after="0" w:line="215" w:lineRule="exact"/>
        <w:rPr>
          <w:sz w:val="20"/>
          <w:szCs w:val="20"/>
          <w:color w:val="auto"/>
        </w:rPr>
      </w:pPr>
    </w:p>
    <w:p>
      <w:pPr>
        <w:jc w:val="both"/>
        <w:ind w:firstLine="227"/>
        <w:spacing w:after="0" w:line="271" w:lineRule="auto"/>
        <w:rPr>
          <w:sz w:val="20"/>
          <w:szCs w:val="20"/>
          <w:color w:val="auto"/>
        </w:rPr>
      </w:pPr>
      <w:r>
        <w:rPr>
          <w:rFonts w:ascii="Arial" w:cs="Arial" w:eastAsia="Arial" w:hAnsi="Arial"/>
          <w:sz w:val="17"/>
          <w:szCs w:val="17"/>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for the three months ended June 30, 2023 decreased by $0.5 million, or 9%, to $5.1 million from $5.7 million for the three months ended June 30, 2022. The decrease primarily resulted from a $0.5 million decrease in bad debt expense and a $0.4 million decrease in salaries, benefits and taxes, partially offset by a $0.3 million increase in facilities expenses. As a percentage of net sales, sales, marketing and support expense was 15% and 16% for the three months ended June 30, 2023 and 2022, respectively.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p>
      <w:pPr>
        <w:jc w:val="both"/>
        <w:ind w:firstLine="254"/>
        <w:spacing w:after="0" w:line="270" w:lineRule="auto"/>
        <w:rPr>
          <w:sz w:val="20"/>
          <w:szCs w:val="20"/>
          <w:color w:val="auto"/>
        </w:rPr>
      </w:pPr>
      <w:r>
        <w:rPr>
          <w:rFonts w:ascii="Arial" w:cs="Arial" w:eastAsia="Arial" w:hAnsi="Arial"/>
          <w:sz w:val="17"/>
          <w:szCs w:val="17"/>
          <w:color w:val="auto"/>
        </w:rPr>
        <w:t>General and administrative expense consists of costs attributable to management, finance and accounting, information technology, human resources, certain outside professional services, and other administrative costs. General and administrative expense for the three months ended June 30, 2023 decreased by $2.8 million, or 40%, to $4.1 million from $6.9 million, for the three months ended June 30, 2022. The decrease primarily resulted from a $1.1 million decrease in salaries, benefits, and taxes, which was driven by the reduction in our workforce in March 2022, and a $0.6 million decrease in recruiting expenses, which was driven by professional fees incurred during the three months ended June 30, 2022 associated with the search for a new Chief Executive Officer and replacements for two departed members of our board of directors. In addition, there was a $0.5 million decrease in legal and professional fees, as well as a $0.2 million reimbursement by EMCORE for expenses incurred under the Transition Service Agreement relating to the sale of the inertial navigation business in 2022. As a percentage of net sales, general and administrative expense was 12% and 20% for the three months ended June 30, 2023 and 2022,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Income, Net</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Interest income represents interest earned on our cash and cash equivalents, as well as from investments and our sale-type lease receivables. Interest income increased $0.7 million for the three months ended June 30, 2023 to $0.9 million from $0.2 million for the three months ended June 30, 2022. Of the current period interest income of $0.9 million, $0.7 million is attributable to interest gained from cash and cash equivalents, while the remaining $0.2 million was due to interest from lease receivables. Interest expense remained flat period-over-period at less than $0.1 million for both of the three months ended June 30, 2023 and 2022. Other (expense) income, net changed to other expense, net of $0.2 million for the three months ended June 30, 2023 from other income, net of $0.9 million for the three months ended June 30, 2022 primarily due to the sale of KVH Media Group Entertainment Limited during the three months ended June 30, 2022 and an increase in foreign exchange losses from our UK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Income tax expense for the three months ended June 30, 2023 was less than $0.1 million and related to taxes on income earned in foreign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for the three months ended June 30, 2022 was $0.2 million and related to taxes on income earned in foreign jurisdictions.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and 2022</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net sales for the six months ended June 30, 2023 and 2022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8"/>
                <w:szCs w:val="18"/>
                <w:b w:val="1"/>
                <w:bCs w:val="1"/>
                <w:color w:val="auto"/>
                <w:w w:val="90"/>
              </w:rPr>
              <w:t>Change</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spacing w:after="0" w:line="169" w:lineRule="exact"/>
              <w:rPr>
                <w:sz w:val="20"/>
                <w:szCs w:val="20"/>
                <w:color w:val="auto"/>
              </w:rPr>
            </w:pPr>
            <w:r>
              <w:rPr>
                <w:rFonts w:ascii="Arial" w:cs="Arial" w:eastAsia="Arial" w:hAnsi="Arial"/>
                <w:sz w:val="18"/>
                <w:szCs w:val="18"/>
                <w:b w:val="1"/>
                <w:bCs w:val="1"/>
                <w:color w:val="auto"/>
                <w:w w:val="96"/>
              </w:rPr>
              <w:t>For the six months ended June</w:t>
            </w:r>
          </w:p>
        </w:tc>
        <w:tc>
          <w:tcPr>
            <w:tcW w:w="360" w:type="dxa"/>
            <w:vAlign w:val="bottom"/>
          </w:tcPr>
          <w:p>
            <w:pPr>
              <w:spacing w:after="0"/>
              <w:rPr>
                <w:sz w:val="14"/>
                <w:szCs w:val="14"/>
                <w:color w:val="auto"/>
              </w:rPr>
            </w:pPr>
          </w:p>
        </w:tc>
        <w:tc>
          <w:tcPr>
            <w:tcW w:w="1580" w:type="dxa"/>
            <w:vAlign w:val="bottom"/>
            <w:gridSpan w:val="2"/>
            <w:vMerge w:val="restart"/>
          </w:tcPr>
          <w:p>
            <w:pPr>
              <w:jc w:val="center"/>
              <w:ind w:left="390"/>
              <w:spacing w:after="0"/>
              <w:rPr>
                <w:sz w:val="20"/>
                <w:szCs w:val="20"/>
                <w:color w:val="auto"/>
              </w:rPr>
            </w:pPr>
            <w:r>
              <w:rPr>
                <w:rFonts w:ascii="Arial" w:cs="Arial" w:eastAsia="Arial" w:hAnsi="Arial"/>
                <w:sz w:val="18"/>
                <w:szCs w:val="18"/>
                <w:b w:val="1"/>
                <w:bCs w:val="1"/>
                <w:color w:val="auto"/>
                <w:w w:val="88"/>
              </w:rPr>
              <w:t>2023 vs. 2022</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87"/>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5"/>
          </w:tcPr>
          <w:p>
            <w:pPr>
              <w:ind w:left="26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Service</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57,486</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68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Net sales increased by $0.2 million, or less than 1%, for the six months ended June 30, 2023 as compared to the six months ended June 30, 2022. Product sales decreased by $2.8 million, or 21%, to $10.4 million for the six months ended June 30, 2023 from $13.2 million for the six months ended June 30, 2022. The decrease in product sales was primarily due to a $2.0 million decrease in TracVision product sales and a $1.3 million decrease in VSAT Broadband product sales, partially offset by a $0.3 million increase in Starlink product sales. The decline in product sales was primarily due to a decrease in unit sales volume, particularly in our global leisure segment. Alternative solutions offered by recent LEO entrants have heightened competition in other segments of the market, but low-cost alternatives to VSAT, which include streaming capabilities, have had a more significant impact on both TracVision and VSAT Broadband product sales in the leisure segment.</w:t>
      </w:r>
    </w:p>
    <w:p>
      <w:pPr>
        <w:spacing w:after="0" w:line="20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Service sales increased by $3.0 million, or 5%, to $57.5 million for the six months ended June 30, 2023 from $54.5 million for the six months ended June 30, 2022. The increase was primarily due to a $4.1 million increase in our VSAT service sales, partially offset by a $1.0 million decrease in our content services sales, primarily driven by the sale of a subsidiary in April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Costs of Sales</w:t>
      </w:r>
    </w:p>
    <w:p>
      <w:pPr>
        <w:spacing w:after="0" w:line="225" w:lineRule="exact"/>
        <w:rPr>
          <w:sz w:val="20"/>
          <w:szCs w:val="20"/>
          <w:color w:val="auto"/>
        </w:rPr>
      </w:pPr>
    </w:p>
    <w:p>
      <w:pPr>
        <w:jc w:val="both"/>
        <w:ind w:firstLine="190"/>
        <w:spacing w:after="0" w:line="286" w:lineRule="auto"/>
        <w:rPr>
          <w:sz w:val="20"/>
          <w:szCs w:val="20"/>
          <w:color w:val="auto"/>
        </w:rPr>
      </w:pPr>
      <w:r>
        <w:rPr>
          <w:rFonts w:ascii="Arial" w:cs="Arial" w:eastAsia="Arial" w:hAnsi="Arial"/>
          <w:sz w:val="17"/>
          <w:szCs w:val="17"/>
          <w:color w:val="auto"/>
        </w:rPr>
        <w:t>Costs of sales increased by $2.7 million, or 7%, in the six months ended June 30, 2023 to $43.5 million from $40.7 million in the six months ended June 30, 2022. The increase in costs of sales was driven by a $1.5 million increase in costs of service sales and a $1.3 million increase in costs of product sales. As a percentage of net sales, costs of sales were 64% and 60% for the six months ended June 30, 2023 and 2022, respectively.</w:t>
      </w:r>
    </w:p>
    <w:p>
      <w:pPr>
        <w:spacing w:after="0" w:line="1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six months ended June 30, 2023, costs of product sales increased by $1.3 million, or 12%, to $11.9 million from $10.6 million in the six months ended June 30, 2023, primarily due to a $1.2 million increase in our marine cost of product sales. As a percentage of product sales, costs of product sales were 114% and 81% for the six months ended June 30, 2023 and 2022, respectively. Cost of product sales increased as a percentage of product sales primarily due to three factors: a $0.7 million write-down of inventory, a $0.3 million increase in the excess and obsolescence reserve and $0.5 million of higher unit component costs.</w:t>
      </w:r>
    </w:p>
    <w:p>
      <w:pPr>
        <w:spacing w:after="0" w:line="2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six months ended June 30, 2023, costs of service sales increased by $1.5 million, or 5%, to $31.6 million from $30.1 million for the six months ended June 30, 2022, primarily due to a $1.8 million increase in VSAT airtime costs of service sales. The increase in airtime cost of sales is primarily related to capacity increases to support growth in our airtime subscriber base. This was partially offset by a $0.4 million decrease in content services cost of service sales, primarily driven by the sale of a subsidiary in April 2022. As a percentage of service sales, costs of service sales were 55% for both the six months ended June 30, 2023 and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194"/>
        <w:spacing w:after="0" w:line="301" w:lineRule="auto"/>
        <w:rPr>
          <w:sz w:val="20"/>
          <w:szCs w:val="20"/>
          <w:color w:val="auto"/>
        </w:rPr>
      </w:pPr>
      <w:r>
        <w:rPr>
          <w:rFonts w:ascii="Arial" w:cs="Arial" w:eastAsia="Arial" w:hAnsi="Arial"/>
          <w:sz w:val="16"/>
          <w:szCs w:val="16"/>
          <w:color w:val="auto"/>
        </w:rPr>
        <w:t>Research and development expense for the six months ended June 30, 2023 decreased by $0.7 million, or 12%, to $5.0 million from $5.6 million for the six months ended June 30, 2022. The decrease in research and development expense resulted primarily from a $0.4 million decrease in expensed materials and a $0.3 million decrease in salaries, benefits and taxes driven by the previously mentioned reduction in our workforce in March 2022. As a percentage of net sales, research and development expense was 7% and 8% for the six months ended June 30, 2023 and 2022, respectively.</w:t>
      </w:r>
    </w:p>
    <w:p>
      <w:pPr>
        <w:spacing w:after="0" w:line="184" w:lineRule="exact"/>
        <w:rPr>
          <w:sz w:val="20"/>
          <w:szCs w:val="20"/>
          <w:color w:val="auto"/>
        </w:rPr>
      </w:pPr>
    </w:p>
    <w:p>
      <w:pPr>
        <w:jc w:val="both"/>
        <w:ind w:firstLine="185"/>
        <w:spacing w:after="0" w:line="257" w:lineRule="auto"/>
        <w:rPr>
          <w:sz w:val="20"/>
          <w:szCs w:val="20"/>
          <w:color w:val="auto"/>
        </w:rPr>
      </w:pPr>
      <w:r>
        <w:rPr>
          <w:rFonts w:ascii="Arial" w:cs="Arial" w:eastAsia="Arial" w:hAnsi="Arial"/>
          <w:sz w:val="18"/>
          <w:szCs w:val="18"/>
          <w:color w:val="auto"/>
        </w:rPr>
        <w:t>Sales, marketing and support expense for the six months ended June 30, 2023 decreased by $1.8 million, or 14%, to $10.9 million from $12.6 million for the six months ended June 30, 2022. The decrease in sales, marketing and support expense resulted primarily from a $1.9 million decrease in salaries, benefits and taxes driven by the previously mentioned reduction in our workforce in March 2022 and a $0.3 million decrease in bad debt expense, partially offset by a $0.5 million increase in facilities expenses. As a percentage of net sales, sales, marketing and support expense was 16% and 19% for the six months ended June 30, 2023 and 2022, respectively.</w:t>
      </w:r>
    </w:p>
    <w:p>
      <w:pPr>
        <w:spacing w:after="0" w:line="215"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8"/>
          <w:szCs w:val="18"/>
          <w:color w:val="auto"/>
        </w:rPr>
        <w:t>General and administrative expense for the six months ended June 30, 2023 decreased by $5.2 million, or 37%, to $8.8 million from $14.0 million for the six months ended June 30, 2022. The decrease in general and administrative expense resulted primarily from a $3.2 million decrease in salaries, benefits and taxes driven by the previously mentioned reduction in our workforce in March 2022, as well as expenses related to the separation and retirement of Mr. Kits van Heyningen in March 2022. In addition, we were also reimbursed by EMCORE for $0.7 million of expenses incurred under the Transition Service Agreement relating to the sale of the inertial navigation business in 2022. There was also a $0.6 million decrease in recruiting expenses, which was driven by professional fees incurred during the six months ended June 30, 2022 associated with the search for a new Chief Executive Officer and replacements for two departed members of our board of directors. There was also a $0.3 million decrease in facilities expenses and a $0.3 million decrease in depreciation and amortization. As a percentage of net sales, general and administrative expense was 13% and 21% for the six months ended June 30, 2023 and 2022,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Income, Net</w:t>
      </w:r>
    </w:p>
    <w:p>
      <w:pPr>
        <w:spacing w:after="0" w:line="225" w:lineRule="exact"/>
        <w:rPr>
          <w:sz w:val="20"/>
          <w:szCs w:val="20"/>
          <w:color w:val="auto"/>
        </w:rPr>
      </w:pPr>
    </w:p>
    <w:p>
      <w:pPr>
        <w:jc w:val="both"/>
        <w:ind w:firstLine="219"/>
        <w:spacing w:after="0" w:line="273" w:lineRule="auto"/>
        <w:rPr>
          <w:sz w:val="20"/>
          <w:szCs w:val="20"/>
          <w:color w:val="auto"/>
        </w:rPr>
      </w:pPr>
      <w:r>
        <w:rPr>
          <w:rFonts w:ascii="Arial" w:cs="Arial" w:eastAsia="Arial" w:hAnsi="Arial"/>
          <w:sz w:val="17"/>
          <w:szCs w:val="17"/>
          <w:color w:val="auto"/>
        </w:rPr>
        <w:t>Interest income increased by $1.3 million to $1.7 million for the six months ended June 30, 2023 from $0.4 million for the six months ended June 30, 2022. Of the current period interest income of $1.7 million, $1.3 million is attributable to interest gained from cash and cash equivalents, while the remaining $0.4 million was due to interest from lease receivables. Interest expense remained flat period-over-period at less than $0.1 million for both the six months ended June 30, 2023 and 2022. Other (expense) income, net changed to other expense, net of $0.5 million for the six months ended June 30, 2023 from other income, net of $1.0 million for the prior period primarily due to the sale of KVH Media Group Entertainment Limited during the six months ended June 30, 2023 and an increase in foreign exchange losses from our UK operations.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52" w:lineRule="exact"/>
        <w:rPr>
          <w:sz w:val="20"/>
          <w:szCs w:val="20"/>
          <w:color w:val="auto"/>
        </w:rPr>
      </w:pPr>
    </w:p>
    <w:p>
      <w:pPr>
        <w:jc w:val="both"/>
        <w:ind w:firstLine="202"/>
        <w:spacing w:after="0" w:line="308" w:lineRule="auto"/>
        <w:rPr>
          <w:sz w:val="20"/>
          <w:szCs w:val="20"/>
          <w:color w:val="auto"/>
        </w:rPr>
      </w:pPr>
      <w:r>
        <w:rPr>
          <w:rFonts w:ascii="Arial" w:cs="Arial" w:eastAsia="Arial" w:hAnsi="Arial"/>
          <w:sz w:val="17"/>
          <w:szCs w:val="17"/>
          <w:color w:val="auto"/>
        </w:rPr>
        <w:t>Income tax expense for the six months ended June 30, 2023 was $0.1 million and related to taxes on income earned in foreign jurisdictions. Income tax expense for the six months ended June 30, 2022 was $0.6 million and related to taxes on income earned in foreign jurisdictions.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August 9, 2022, we sold our inertial navigation business for net proceeds of $54.9 million, less specified deductions. We determined that the sale met the requirements for reporting as discontinued operations in accordance with ASC 205-20. Accordingly, we have classified the results of the inertial navigation business as discontinued operations for all prior periods presented. Please see Notes 1 and 18 for further discussion. Results for discontinued operations are as follows: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2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Three months ended June</w:t>
            </w:r>
          </w:p>
        </w:tc>
        <w:tc>
          <w:tcPr>
            <w:tcW w:w="2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39"/>
        </w:trPr>
        <w:tc>
          <w:tcPr>
            <w:tcW w:w="6640" w:type="dxa"/>
            <w:vAlign w:val="bottom"/>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6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90"/>
              </w:rPr>
              <w:t>(dollars in thousands)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Sales from discontinued operations</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7,284</w:t>
            </w:r>
          </w:p>
        </w:tc>
        <w:tc>
          <w:tcPr>
            <w:tcW w:w="90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15,227</w:t>
            </w:r>
          </w:p>
        </w:tc>
        <w:tc>
          <w:tcPr>
            <w:tcW w:w="0" w:type="dxa"/>
            <w:vAlign w:val="bottom"/>
          </w:tcPr>
          <w:p>
            <w:pPr>
              <w:spacing w:after="0"/>
              <w:rPr>
                <w:sz w:val="1"/>
                <w:szCs w:val="1"/>
                <w:color w:val="auto"/>
              </w:rPr>
            </w:pPr>
          </w:p>
        </w:tc>
      </w:tr>
      <w:tr>
        <w:trPr>
          <w:trHeight w:val="23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discontinued operations, net of tax</w:t>
            </w: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9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primary liquidity needs have been to fund general business requirements, including working capital requirements and capital expenditures. In recent years, we have funded our operations primarily from the sale of two businesses in 2022, the sale of a business in 2019, a PPP loan, cash flows from operations, bank financings and proceeds received from exercises of stock options and the issuance of stock.</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9, 2022, we sold our inertial navigation business to EMCORE Corporation for net proceeds of $54.9 million, less specified deductions.</w:t>
      </w:r>
    </w:p>
    <w:p>
      <w:pPr>
        <w:spacing w:after="0" w:line="27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As of June 30, 2023, we had $71.0 million in cash, cash equivalents, and marketable securities, of which $2.6 million in cash and cash equivalents was held in local currencies by our foreign subsidiaries. Our foreign subsidiaries held no marketable securities as of June 30, 2023. As of June 30, 2023, we had $99.7 million in working capital. 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19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Net cash used in operations was $3.2 million for both the six months ended June 30, 2023 and 2022. Between the two periods, there was a $7.0 million increase in net income, a $4.9 million decrease in cash outflows relating to inventories, a $1.2 million decrease in cash outflows related to prepaid expenses and current assets, and a $1.1 million increase in cash inflows relating to accounts receivable. Offsetting these items were an $8.2 million increase in cash outflows related to accounts payable, a $5.3 million increase in cash outflows relating to accrued compensation, product warranty and other expenses, a $0.5 million increase cash outflows related to non-current assets, and a change of $0.2 million related to non-cash items.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used in investing activities was $6.0 million for the six months ended June 30, 2023 compared to net cash provided by investing activities of $2.3 million for the six months ended June 30, 2022. The $8.4 million increase in net cash used in investing activities was primarily the result of a $9.3 million increase in net investment in marketable securities and a decrease of $2.4 million in proceeds from the sale of KVH Media Group Entertainment Limited, partially offset by a $3.3 million decrease in capital expenditures.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4" w:name="page35"/>
    <w:bookmarkEnd w:id="34"/>
    <w:p>
      <w:pPr>
        <w:jc w:val="both"/>
        <w:ind w:firstLine="486"/>
        <w:spacing w:after="0" w:line="245" w:lineRule="auto"/>
        <w:rPr>
          <w:sz w:val="20"/>
          <w:szCs w:val="20"/>
          <w:color w:val="auto"/>
        </w:rPr>
      </w:pPr>
      <w:r>
        <w:rPr>
          <w:rFonts w:ascii="Arial" w:cs="Arial" w:eastAsia="Arial" w:hAnsi="Arial"/>
          <w:sz w:val="18"/>
          <w:szCs w:val="18"/>
          <w:color w:val="auto"/>
        </w:rPr>
        <w:t>Net cash provided by financing activities was $2.1 million for the six months ended June 30, 2023 compared to net cash provided by financing activities of $0.2 million for the six months ended June 30, 2022. The $1.9 million increase in net cash provided by financing activities is primarily attributable to the $2.0 million increase in cash inflows relating to proceeds from stock options exercised and the employee stock purchase plan, partially offset by a $0.2 million increase in cash outflows related to the repurchase of common stock to satisfy specific tax withholding obligations arising from accelerated vesting of executive stock grants.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3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intend to continue to invest in our global HTS network on a worldwide basis. As part of the future potential capacity expansion, we plan to acquire additional satellite capacity from satellite operators, expend funds to seek regulatory approvals and permits, develop product enhancements in anticipation of the expansion, and hire additional personnel. From time to time we have entered into multi-year agreements to lease satellite capacity, and we have also purchased numerous satellite hubs to support the added capacity. These transactions can involve millions of dollars.</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Under the supervision and with the participation of our Chief Executive Officer and Chief Financial Officer, our management has evaluated the effectiveness of our disclosure controls and procedures as of June 30, 2023, the end of the period covered by this interim report. Based on that evaluation, our Chief Executive Officer and Chief Financial Officer concluded that our disclosure controls and procedures were effective as of June 30, 2023.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Changes in Internal Control over Financial Reporting</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has evaluated changes in our internal control over financial reporting that occurred during the second quarter of 2023. Based on that evaluation, our Chief Executive Officer and Chief Financial Officer did not identify any change in our internal control over financial reporting during the second quarter of 2023 that has materially affected, or is reasonably likely to materially affect, our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Considerations</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8"/>
          <w:szCs w:val="18"/>
          <w:color w:val="auto"/>
        </w:rPr>
        <w:t>In the ordinary course of business, we are a party to inquiries, legal proceedings and claims including, from time to time, disagreements with vendors and customers. We are not a party to any lawsuit or proceeding that, in our opinion, is likely to materially harm our business, results of operations, financial condition, or cash flows.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following risk factors in evaluating our business. If any of these risks, or other risks not presently known to us or that we currently believe are not significant, develops into an actual event, then our business, financial condition and results of operations could be adversely affected. If that happens, the market price of our common stock could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financial performance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achieving sustained profitability may take longer than we anticipate or may not be achievable.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substantial losses from continuing operations in each of the last three fiscal years (notwithstanding the income we recognized in 2022 from the sale of the inertial navigation business and in 2021 from the forgiveness of the PPP Loan). Although our continuing operations were profitable in the fourth quarter of 2022 and second quarter of 2023, we may incur losses in the future as we face increasing competition, as we increase satellite capacity to handle our growing subscriber base, as we confront supply chain constraints and as we continue to invest in research and development to improve our existing products and develop new products. In order to achieve sustained profitability, we must grow our airtime subscriber base, reduce our bandwidth costs, and continue to introduce new and improved products in order to maintain and improve our competitive position and generate revenue. Our inability to accomplish any of these goals could have a material adverse effect on our revenues, profitability and cash flow, and we cannot assure you when, or whether, we will regain sustained profitability.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quarterly net sales and results of operations could depress the market price of our common stock.</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quarterly net sales and results of operations could continue to vary significantly for various reasons, many of which are outside our control. You should not rely on quarter-to-quarter comparisons of our results of operations as an indication of future performance. Our net sales or results of operations in a quarter may fall below the expectations of securities analysts or investors. If this occurs, the market price of our common stock could fall significantly. Our results of operations can fluctuate for many reasons, including changes in demand for our products and services; delays in order fulfillment, including as a result of shortages of components and raw materials; the mix of products and services we sell, including the mix of fixed rate and metered contracts for airtime services; our ability to manufacture, test and deliver products in a timely and cost-effective manner; the timing of new product introductions by us or our competitors; the scope and success of our investments in research and development; expenses incurred in pursuing acquisitions and investments; expenses incurred in expanding, maintaining, or improving our global HTS network; market and competitive pricing pressures; unanticipated charges or expenses; expenses incurred in responding to stockholder activism; general economic climate; seasonality of pleasure boat and recreational vehicle usage; and the impact of supply chain disruptions.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large portion of our expenses, including expenses for network infrastructure, facilities, equipment, and personnel, are relatively fixed. If our net sales decline or do not grow as we anticipate, we may be unable to maintain or improve our operating margins. Any failure to achieve anticipated net sales could therefore significantly harm our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impairments to goodwill could result in significant charges against earnings.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our acquisitions, we have recorded, and may continue to record, a significant amount of goodwill. Under current accounting guidelines, we must assess, at least annually and potentially more frequently, whether the value of goodwill has been impaired. In 2020, our annual impairment test resulted in an impairment charge of $10.5 million in our KVH Media reporting unit. Even after recording this impairment, our consolidated balance sheet at June 30, 2023 includes $5.4 million of goodwill, of which $0.9 million relates to KVH Media Group. Our annual impairment analysis as of October 1, 2022 did not identify any further impairments. However, there can be no assurance that our remaining goodwill will not be further impaired.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u w:val="single" w:color="auto"/>
          <w:color w:val="auto"/>
        </w:rPr>
        <w:t>Risks related to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will depend in part on the services of our executive officers.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future success depends to a significant degree on the skills and efforts of our executive officers. Our executive officers are at-will employees, competition is intense for executive management, and they could terminate their employment with us at any time. We do not maintain key-person life insurance on any of our personnel. Accordingly, the loss of one or more of our executive officers or key employees could have a material adverse effect on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cannot effectively manage changes in our business and continue to attract and retain skilled personnel, our business may suffer.</w:t>
      </w: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highly dependent on qualified personnel at all levels, including our senior management team and other key technical, operational, managerial and sales and marketing personnel, each of whom would be difficult to replace. If we fail to retain and attract the necessary personnel, we may be unable to achieve our business objectives and may lose our competitive position, which could lead to a significant decline in net sales. The current job market for personnel is very competitive, resulting in increased compensation. We face challenges retaining our personnel and attracting new personnel to fulfill our unmet needs. Replacing key personnel may be difficult and may take an extended period of time because of the limited number of individuals with the skills and experience to execute our business strategy. We may be unable to identify or employ qualified personnel for any such position on acceptable terms, if at all. We may also need to pay higher compensation than we expect, which would make it more difficult to achieve our goal of sustained profitability.</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cannot adjust expenses in response to changes in our operations, our results of operations may be harmed. To manage changes in our business effectively, we must, among other things, match our manufacturing facilities and capacity to demand for our products and services; secure appropriate satellite capacity to match demand for airtime services; effectively manage our inventory and working capital; ensure robust cybersecurity protection of Company and customers data and systems; and ensure that our procedures and internal controls are revised and updated to remain appropriate for our workforce and the size and scale of our business operations.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must generate a certain level of sales of the TracNet H-series and TracPhone V-HTS series products in order to maintain or improve our service gross margins.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our global HTS network infrastructure, we incur certain costs that generally do not vary directly in proportion to the volume of service sales, and we have limited ability to reduce these fixed costs in the short term. The cost of our HTS network has increased significantly each year as we have expanded our network to accommodate additional subscriber demand and/or coverage areas. We expect that this trend will continue in 2023. If sales of our TracNet H-series and TracPhone V-HTS series products, including through our AgilePlans subscription model, do not generate the level of revenue that we expect or if those revenues decline, our service gross margins may decline. The failure to improve our global HTS service gross margins and unit or subscriber sales would have a material adverse effect on our overall profitability.</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ability to compete in the maritime airtime services market will be impaired if we are unable to provide sufficient service capacity to meet customer demand.</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offer our global HTS VSAT service in the Americas, Europe, the Middle East, Africa, Asia-Pacific, Indian, and Australian and New Zealand waters. We may need to expand capacity in existing coverage areas to support our subscriber base. If we are unable to reach economical agreements with third-party satellite providers to support our global HTS service and its technology or if transponder capacity is unavailable to meet growing demand in a given region, our ability to provide airtime services will be at risk and could reduce the attractiveness of our products and services.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are adversely affected by unseasonably cold weather, prolonged winter conditions, disasters or similar events.</w:t>
      </w:r>
    </w:p>
    <w:p>
      <w:pPr>
        <w:spacing w:after="0" w:line="2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leisure marine business is highly seasonal, and seasonality can also impact our commercial marine business. Historically, we have generated the majority of our leisure marine product revenues during the first and second quarters of each year, and these revenues typically decline in the third and fourth quarters of each year, compared to the first two quarters. Temporary suspensions of our airtime services typically increase in the third and fourth quarters of each year as boats are placed out of service during winter months. Our leisure marine business is also significantly affected by the weather. Unseasonably cool weather, prolonged winter conditions, hurricanes, unusual amounts of rain, and natural and other disasters may decrease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boating, which could reduce our revenues. Specifically, we may encounter a decrease in new airtime activations as well as an increase in the number of cancellations or temporary suspensions of our airtime service.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single manufacturing facility, and any significant disruption to this facility will impair our ability to deliver our products.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manufacture all of our products at our manufacturing facility in Middletown, Rhode Island. Some of our production processes are complex, and we may be unable to respond rapidly to the loss of the use of our production facility. For example, we use some specialized equipment that may take time to replace if it is damaged or becomes unusable for any reason. In that event, shipments would be delayed, which could result in customer or dealer dissatisfaction, loss of sales and damage to our reputation.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strategic relationships may disrupt our operations or adversely affect our results.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evaluate opportunities to acquire other businesses and pursue other strategic relationships as they arise. The expenses we incur evaluating and pursuing acquisitions and strategic relationships could have a material adverse effect on our results of operations. If we acquire a business, we may be unable to manage it profitably or successfully integrate its operations with our own. Moreover, we may be unable to realize the strategic, financial, operational and other benefits we anticipate, and any acquisition or strategic relationship may increase our operating expenses. Further, our approach to acquisitions and strategic relationships may involve a number of special financial and business risks, such as entry into new and unfamiliar lines of business or markets, which may present challenges or risks that we did not anticipate; entry into new or unfamiliar geographic regions, including exposure to additional tax and regulatory regimes; increased expenses associated with the amortization of acquired intangible assets; increased exposure to fluctuations in foreign currency exchange rates; charges related to any abandoned acquisition; diversion of our management’s time, attention, and resources; loss of key personnel; increased costs to improve or coordinate managerial, operational, financial, and administrative systems, including internal control over financial reporting; dilutive issuances of equity securities; the assumption of legal liabilities; and losses arising from impairment charges associated with goodwill or 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dependence on third parties and third-party technology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mobile satellite products currently depend on satellite services, gateway teleports and terrestrial networks provided by third parties, and a disruption in those services could adversely affect sales.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satellite antenna products include the equipment necessary to utilize satellite services. We do not own the satellites that provide two-way satellite communications or the terrestrial networks that interconnect our facilities with the satellite teleports that communicate with the satellites. Intelsat and Sky Perfect-JSAT currently provide the satellite capacity to support our global high-throughput satellite (HTS) broadband service and our TracNet H-series and TracPhone V-HTS series products. Vodafone provides the 5G/LTE services used by our TracNet H-series terminals to provide cellular service in 150+ countries. We rely on Inmarsat for satellite communications services for our FleetBroadband-compatible and FleetOne-compatible TracPhone products. We also have an arrangement with Iridium for additional satellite communications services that we make available to our customers as a backup option to provide communications redundancy with our primary service offerings.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agreements with various teleports and Internet service providers around the globe to support our global HTS broadband service. The terrestrial fiber links that we use to connect with the Internet and to move our VoIP and data services between our facilities and the various satellite earth stations that support our services are provided to us through numerous service providers, some of which have contractual relationships with our satellite service providers and not directly with us.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offer satellite television products compatible with the DIRECTV and DISH Network services in the United States, the Bell TV service in Canada, the Sky Mexico service in Mexico, the Sky UK service in the United Kingdom, Canal+ service in France and Movistar service in Spain, and other regional satellite TV services in other parts of the world.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exercise little or no control over these third-party providers of satellite, teleport, and terrestrial network services, which increases our vulnerability to problems with the services they provide. Due to our reliance on these service providers, when problems occur, it may be difficult to identify the source of the problem. Service disruption or outages, regardless of whether they are caused by our service, the equipment or services of our third-party service providers, or our customers’ or their equipment and systems, may result in loss of market acceptance of our service, and any necessary repairs or other remedial actions may cause us to incur significant costs and expenses. Any failure on the part of third-party service providers to achieve or maintain expected performance levels, stability, and security could harm our relationships with our customers, result in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claims for credits or damages, damage our reputation, significantly reduce customer demand for our solution and seriously harm our financial condition and operating results.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customers become dissatisfied with the pricing, service, availability, programming or other aspects of any of these satellite services, or if any one or more of these services becomes unavailable for any reason, we could suffer a substantial decline in sales of our satellite products or services. There may be no alternative satellite service provider available to us in a particular geographic area, and our modem or other technology may not be compatible with the technology of any alternative service provider that may be available. Even if available, delays caused by switching our technology to another service provider, if available, and qualifying this new service provider could materially harm our customer relationships, business, financial condition, and operating results. In addition, the unexpected failure of a satellite could disrupt the availability of programming and services, which could reduce the demand for, or customer satisfaction with, our products and services.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on cloud-based data services operated by third parties, and any disruption in the operation of these services could harm our business.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our content services and business records are hosted by various cloud-based data services operated by third parties. Any failure or downtime in one of these services could affect a significant percentage of our customers. Although we control and have access to our servers and the components of our network that are located in our internal facilities and certain of our external data facilities, we do not control the operation of external facilities. The providers of our data management services have no obligation to renew their agreements with us on commercially reasonable terms, or at all. If we are unable to renew these agreements on commercially reasonable terms, or if one or more of our data management service providers is acquired, closes, suffers financial difficulty or is unable to meet our growing capacity needs, we may be required to transfer our data to other services, and we may incur significant costs and service interruptions in connection with doing so, which could harm our reputation with our customers and adversely affect our revenues and results of operations.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media and entertainment business relies on licensing arrangements with content providers, and the loss of, or changes in, those arrangements could adversely affect our business.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distribute premium news, television shows, sports, and movies to commercial customers in the maritime and hotel markets. We license this content from third parties on a non-exclusive basis without long-term license agreements. Any content provider could terminate our arrangements without notice or could adversely modify the terms of the arrangement, including price increases. Further, the licenses we obtain are limited in scope, and any violation of the terms of a license could expose us to liability for copyright infringement. We pay license fees based in part on the revenue we generate from sublicenses, and our licensors generally have the right to audit our records. Failure to pay required license fees could result in termination of our license rights, penalties and damages. The loss of content could adversely affect the attractiveness of our media and entertainment offerings, which could in turn adversely affect our revenues. Any increase in the cost of content could reduce the profitability of these offerings.</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Cybersecurity breaches could disrupt our operations, expose us to liability, damage our reputation, and require us to incur significant costs or otherwise adversely affect our financial results.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highly dependent on information technology networks and systems, including the Internet and third-party systems, to securely process, transmit and store electronic information, including personal information of our customers. We also retain sensitive data, including intellectual property, proprietary business information, personally identifiable information, credit card information, and usage data of our employees and customers on our computer networks and those of third parties. Although we take certain protective measures and endeavor to modify them as we believe circumstances warrant, invasive technologies and techniques continue to evolve rapidly, and increasingly sophisticated hacking organizations are targeting business systems. As a result, the computer systems, software and networks that we use are vulnerable to disruption, shutdown, unauthorized access, misuse, erasure, alteration, employee error, phishing, computer viruses, ransomware or other malicious code, and other events that could have a material security impact. The protective measures on which we rely may be inadequate to prevent or detect all material cybersecurity breaches or determine the extent of any material breach, and there can be no assurance that material undetected breaches have not already occurred. If any material cybersecurity event were to occur, it could disrupt our operations, distract our management, cause us to lose existing customers and fail to attract new customers, as well as subject us to regulatory actions, litigation, fines, damage to our reputation or competitive position, or orders or decrees requiring us to modify our business practices, any of which could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u w:val="single" w:color="auto"/>
          <w:color w:val="auto"/>
        </w:rPr>
        <w:t>Risks related to economic conditions and trade relations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revenues, results of operations and financial condition may be adversely impacted by economic turmoil, political instability, declines in consumer and enterprise spending.</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Economic and political conditions in the geographic markets we serve have experienced significant turmoil over the last several years, including a potential global recession, slow economic activity, tight credit markets, inflation and deflation concerns, low consumer confidence, limited capital spending, adverse business conditions, war and refugee crises in the Middle East and Europe, terrorist attacks, changes in government priorities, trade wars, restrictions on commercial fishing, a government shutdown, gridlock from a divided Congress, and liquidity concerns. These factors vary in intensity by region. We cannot predict the timing, duration, or ultimate impact of turmoil on our markets or our suppliers. We expect our business would be adversely impacted by any significant turmoil, to varying degrees and for varying amounts of time, in all our geographic markets.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U.S. trade policy, including changes to existing trade agreements and any resulting changes in international trade relations, may have a material adverse effect on us.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U.S. may continue to alter its approach to international trade, which may impact existing bilateral or multi-lateral trade agreements and treaties with foreign countries. The U.S. has imposed tariffs on certain foreign goods and may increase tariffs or impose new ones, and certain foreign governments have retaliated and may continue to do so. We derive a majority of our revenues from international sales, which makes us especially vulnerable to increased tariffs. Changes in U.S. trade policy have created ongoing turmoil in international trade relations, and it is unclear what future actions governments will or will not take with respect to tariffs or other international trade agreements and policies. Ongoing or new trade wars or other governmental action related to tariffs or international trade agreements or policies could reduce demand for our products and services, increase our costs, reduce our profitability, adversely impact our supply chain or otherwise have a material adverse effect on our business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foreign currency exchange rates may negatively affect our financial condition and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significant exposure to movements in exchange rates for foreign currencies, particularly the pound sterling and the euro. For example, during 2022, the U.S. dollar strengthened against certain foreign currencies, which adversely affected revenues reported in U.S. dollars and decreased the reported value of our assets in foreign countries. We also have intragroup receivables and liabilities, such as loans, that can generate significant foreign currency effects. Changes in exchange rates, particularly the U.S. dollar against the pound sterling, could lead to the recognition of unrealized foreign exchange losses.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products and services are sold internationally in U.S. dollars; if the U.S. dollar continues to strengthen, the relative cost of these products and services to customers located in foreign countries would increase, which could adversely affect export sales. In addition, most of our financial obligations must be satisfied in U.S. dollars. Our exposures to changes in foreign currency exchange rates may change over time as our business practices evolve and could result in increased costs or reduced revenue and could adversely affect our cash flow. Changes in the relative values of currencies occur regularly and may have a significant impact on our operating results. We cannot predict with any certainty changes in foreign currency exchange rates or the degree to which we can cost-effectively mitigate this exposure.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the sale of our inertial navigation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potential liabilities and disruptions arising from the sale of our inertial navigation business.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August 9, 2022, we sold our inertial navigation business to EMCORE Corporation. The sale of the inertial navigation business required us to separate and allocate specific assets to the business, including some shared assets. We could face disputes with EMCORE regarding whether or not certain assets were included in the sale. Moreover, we agreed, for a period of time after the sale, to continue to perform certain services that we historically performed for the inertial navigation business, and we also undertook other customary obligations associated with a disposition of a business by means of asset sale.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incurred significant legal, accounting and financial advisory fees negotiating and consummating the sale of the inertial navigation business, and we may incur additional fees to resolve any dispute that may arise over the terms of the transaction or the parties’ compliance with their obligations under the transaction agreements. Although EMCORE agreed to assume most liabilities associated with the inertial navigation business, it did not assume all such liabilities, which could lead to a dispute. Any such disputes could divert the attention of our management or otherwise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u w:val="single" w:color="auto"/>
          <w:color w:val="auto"/>
        </w:rPr>
        <w:t>Risks related to our industry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competition may limit our ability to sell our products and services.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mobile connectivity market is very competitive, and competition is increasing. We may not be able to compete successfully against current and future competitors, which would impair our ability to sell our products and services. Competition has intensified significantly in recent years, both from companies that seek to compete primarily on price as well as new, emerging non-geostationary satellite orbit (NGSO) services, such as Starlink, OneWeb, Kuiper, Telesat, and others. These companies may continue to implement price reductions and discounts for both products and services, which have required us to reduce our prices or offer discounts in an effort to maintain or increase our market share. We believe increased competition contributed to the decrease in our product sales in the six months ended June 30, 2023, and this trend may continue in future periods.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VSAT competitors have already leveraged partnerships amongst themselves in order to capture larger combined market share. Further, some of the companies that we depend on to supply us with capacity on satellite communications networks may vertically integrate by introducing their own products and services to compete with ours, which might motivate them to stop providing satellite network capacity to us, or to make it available only on less favorable terms.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Starlink LEO service has adversely impacted our business, particularly within the global leisure segment. A significant number of leisure customers have adopted Starlink systems for both two-way communications as well as streaming, which has impacted both our VSAT Broadband and TracVision businesses. Although our leisure business accounts for less than 20% of our total revenue, competition from Starlink is beginning to impact our commercial business. If we are unable to develop a competitive alternative and this trend continues, it could have a material adverse effect on our revenue, profitability and cash flow.</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marine market for satellite TV equipment, we compete primarily with Intellian, Cobham SATCOM and Raymarine (Intellian-made). In the marine market for two-way communications equipment, we compete primarily with Intellian and Cobham SATCOM. In the marine market for high-speed Internet, voice, fax, and data services, we compete primarily with Inmarsat, Marlink, Speedcast, Viasat, and Network Innovations, along with smaller, single-hub regional services. Additionally, we are starting to face competition from new NGSO networks such as SpaceX's Starlink and OneWeb. We also face competition from providers of low-speed data services, which include Inmarsat and Iridium Satellite LLC. In the market for land mobile satellite TV equipment, we compete primarily with King Controls and Winegard Company. In the markets for media content, the KVH Media Group competes primarily with Swank Motion Pictures, Baze Technology, and NewspaperDirect, Inc. Many of our competitors are well-established companies that have substantially greater financial, managerial, technical, marketing, personnel and other resources than we do, which may help them to compete more effectively against us.</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depend on sole or limited source suppliers, and any disruption in supply could impair our ability to deliver our products on time or at expected cost.</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obtain many key components for our products from third-party suppliers, and in some cases we use a single or a limited number of suppliers. Any interruption in supply could impair our ability to deliver our products until we identify and qualify a new source of supply, which could take several weeks, months or longer and could increase our costs significantly. For example, the global chip shortage and supply chain constraints resulting from the COVID-19 pandemic adversely impacted our ability to deliver products in a timely manner and increased our cost of sales due to rising prices for materials. In the second quarter of 2023, we estimate that raw material costs exceeded our expectations by approximately $0.4 million. We may not be able to pass along any of these cost increases to our customers, and customers may not wait for our products to become available. These disruptions in our supply chain could worsen, which could delay delivery of our products and services and adversely affect our revenue and results of operations. Suppliers might change or discontinue key components, which could require us to modify our product designs. In general, we do not have written long-term supply agreements with our suppliers but instead buy components through purchase orders, which expose us to potential price increases and termination of supply without notice or recourse. We generally do not carry significant inventories of product components, which could magnify the impact of the loss of a supplier. If we must use a new source of supply, we could face unexpected manufacturing difficulties and loss of product performance or reliability. In addition, lead times for certain components can increase significantly due to imbalances in overall market supply and demand. This, in turn, could limit our ability to satisfy demand for our products and could result in the cancellation of customer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We may source more materials and components from international suppliers, which could disrupt our business.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increase sourcing of raw materials, manufactured components and subassemblies from international suppliers. Increased reliance on foreign manufacturing and/or raw material supply could lengthen our supply chain and increased the risk that a disruption in that supply chain could have a material adverse effect on our operations and financial performance.</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the competitive environment, customer demand, supply chain issues, and the transition to new products may require inventory write-downs.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have recorded significant inventory charges and/or inventory write-offs as a result of substantial declines in customer demand. For example, in 2019, we recorded a $2.3 million inventory reserve relating to our TracPhone V-IP products as we decided to no longer promote sales of these products but instead to focus our efforts on migrating customers to our HTS network and products. Market or competitive changes, such as a continuation of the decline in demand for our TracVision products that we experienced in the first six months of 2023, could lead to future charges for excess or obsolete inventory, especially if we are unable to appropriately adjust the supply of material from our vendors.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intellectual property and technological innovation</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research and development efforts may be unsuccessful. If we are unable to improve our existing products and services and develop new, innovative products and services, our sales and market share may decline.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mobile connectivity products and services is characterized by rapid technological change, frequent new product innovations, changes in customer requirements and expectations, and evolving industry standards. For example, we are starting to face competition from new LEO networks such as SpaceX's Starlink and OneWeb. If we fail to make innovations in our existing products and services and reduce the costs of our products and services, our market share may decline. For example, the introductions of our TracVision TV-series antennas in 2014 occurred later than we had anticipated, which we believe led certain customers to purchase competing products. Products or services using new technologies, or emerging industry standards, could render our products and services obsolete. If our competitors successfully introduce new or enhanced products or services that outperform our products or services, or are perceived as doing so, we may be unable to compete successfully in the markets affected by these changes.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is inherently complex and uncertain, and our current and anticipated research and development projects may not achieve the results we seek. The financial resources that we can devote to our research and development efforts may be insufficient to achieve our goals. Our efforts may not result in any viable products or may result in products whose performance, features, price or availability may not be attractive to customers or that we cannot manufacture and sell profitably.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if we cannot protect our proprietary technology.</w:t>
      </w: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compete depends significantly upon our patents, copyrights, source code, and other proprietary technology. The steps we have taken to protect our technology may be inadequate to prevent others from using what we regard as our technology to compete with us. Our patents will eventually expire and could be challenged, invalidated or circumvented. Customers or others with access to our proprietary or licensed media content could copy that content without permission or otherwise violate the terms of our customer agreements, which would adversely affect our revenues and could impair our relationships with content providers. In addition, the laws of some foreign countries do not protect our proprietary technology to the same extent as the laws of the United States, which could increase the likelihood of misappropriation. Any misappropriation of our technology could seriously harm our competitive position, which could lead to a substantial reduction in net sales. If we resort to legal proceedings to enforce our intellectual property rights, the proceedings could be burdensome, disruptive and expensive. The proceedings could distract the attention of management, and we may not prevail.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by others that we infringe their intellectual property rights could harm our business and financial condition.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industry is characterized by the existence of a large number of patents and frequent claims and related litigation regarding patent and other intellectual property rights. We cannot be certain that our products do not and will not infringe issued patents, patents that may be issued in the future, or other intellectual property rights of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u w:val="single" w:color="auto"/>
          <w:color w:val="auto"/>
        </w:rPr>
        <w:t>Risks related to government regulation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complicate our business and require us to comply with multiple regulatory environments.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Historically, sales to customers outside the United States have accounted for a significant portion of our net sales. We derived 66%, 62% and 58% of our revenues from continuing operations in the six months ended June 30, 2023 and the years ended December 31, 2022 and 2021, respectively, from sales to these foreign customers. We have foreign offices in Denmark, the United Kingdom, Singapore, Japan, Norway and the Philippines, as well as a subsidiary in Brazil that manages local sales. Nonetheless, substantially all of our operations and approximately one-half of our personnel are located in the United States. Our limited international operations may impair our ability to compete successfully in international markets and to meet the service and support needs of our customers in countries where we have little to no infrastructure. Risks associated with our international business activities may increase our costs and require significant management attention. These risks include restrictions on international travel, which may restrict our ability to grow and service our business; tariffs; sanctions or other trade restrictions that preclude or restrict doing business with particular foreign governments, companies or individuals; technical challenges we may face in adapting our products to function with different satellite services and technology in use in various regions around the world; satisfaction of international regulatory requirements and delays and costs associated with procurement of any necessary licenses or permits; the potential unavailability of content licenses covering international waters and foreign locations; increased costs of providing customer support in multiple languages; increased costs of managing operations that are international in scope; potentially adverse tax consequences, including restrictions on the repatriation of earnings; protectionist laws and business practices that favor local competitors, which could slow our growth in international markets; potentially longer sales cycles; potentially longer accounts receivable payment cycles and difficulties in collecting accounts receivable; and economic and political instability in some international markets.</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could incur additional legal compliance costs associated with our international operations and could become subject to legal penalties if we do not comply with certain regulations.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international operations subject us to a number of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addition, many of the countries where our customers use our products and services have licensing and regulatory requirements for the importation and use of satellite communications and reception equipment, including the use of such equipment in territorial waters, the transmission of satellite signals on certain radio frequencies, the transmission of VoIP services using such equipment and the reception of certain video programming services. These laws and regulations are continually changing, making compliance complex. We incur significant costs identifying and maintaining compliance with applicable licensing and regulatory requirements. Our training and compliance programs and our other internal control policies may be insufficient to protect us from acts committed by our employees, agents or third-party contractors. Any violation of these requirements by us or our employees, agents or third-party contractors may subject us to significant criminal and civil liability.</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FCC rules and regulations, and any non-compliance could subject us to FCC enforcement actions, fines, loss of licenses and possibly restrictions on our ability to operate or offer certain of our services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satellite communications industry in the United States is regulated by the Federal Communications Commission (FCC), and we are subject to FCC regulations relating to privacy, contributions to the Universal Service Fund, or USF, and other requirements. If we do not comply with FCC regulations, we could face enforcement actions, substantial fines, penalties, loss of licenses and possibly restrictions on our ability to operate or offer services. Any enforcement action by the FCC, which may be a public process, could hurt our reputation, impair our ability to sell our services to customers and harm our business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Privacy concerns and domestic or foreign laws and regulations may reduce demand for our services, increase our costs and harm our business.</w:t>
      </w:r>
    </w:p>
    <w:p>
      <w:pPr>
        <w:spacing w:after="0" w:line="2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company and our customers can use our services to collect, use and store personal, confidential and sensitive information regarding the content and manner of usage of our services by them, their employees and maritime crews. Federal, state and foreign governments have adopted and are proposing new and more stringent laws and regulations regarding the collection, use, storage and transfer of information, such as the European Union’s General Data Protection Regulation (“GDPR”). The costs of compliance with, and other burdens imposed by, such laws and regulations may limit the use and adoption of our services and reduce overall demand. Non-compliance with these laws and regulations could lead to significant remediation expenses, fines,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penalties or other liabilities, such as orders or consent decrees that require modifications to our privacy practices, as well as reputational damage or third-party lawsuits seeking damages or other relief. For example, the GDPR imposes a strict data protection compliance regime with penalties of up to the greater of 2%-4% of worldwide revenue or €11-22 million.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Domestic and international legislative and regulatory initiatives may harm our ability, and the ability of our customers, to process, handle, store, use and transmit information, which could reduce demand for our services, increase our costs and force us to change our business practices. These laws and regulations are still evolving, are likely to be in flux and may be subject to uncertain interpretation for the foreseeable future. Our business also could be harmed if legislation or regulations are adopted, interpreted or implemented in a manner that is inconsistent from country to country or inconsistent with our current policies and practices or those of our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owning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be volatile.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stock price has historically been volatile. During the period from January 1, 2018 to June 30, 2023, the trading price of our common stock ranged from $6.36 to $15.29. Many factors may cause our stock price to fluctuate, including variations in quarterly results; the introduction of new products and services by us or our competitors; changes in estimates of our performance or recommendations by securities analysts; the hiring or departure of key personnel; acquisitions or strategic alliances involving us or our competitors; market conditions in our industry; and the global macroeconomic and geopolitical environment. Broad market fluctuations may adversely affect our stock price. When the market price of a company’s stock drops significantly, stockholders often institute securities litigation against that company. Any such litigation could cause us to incur significant expenses defending against the claim, divert the time and attention of our management and result in significant damages.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4" w:name="page45"/>
    <w:bookmarkEnd w:id="44"/>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with</w:t>
            </w:r>
          </w:p>
        </w:tc>
        <w:tc>
          <w:tcPr>
            <w:tcW w:w="108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8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No.</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this Form 10-Q</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Filing Date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0" w:type="dxa"/>
            <w:vAlign w:val="bottom"/>
          </w:tcPr>
          <w:p>
            <w:pPr>
              <w:spacing w:after="0"/>
              <w:rPr>
                <w:sz w:val="1"/>
                <w:szCs w:val="1"/>
                <w:color w:val="auto"/>
              </w:rPr>
            </w:pPr>
          </w:p>
        </w:tc>
      </w:tr>
      <w:tr>
        <w:trPr>
          <w:trHeight w:val="189"/>
        </w:trPr>
        <w:tc>
          <w:tcPr>
            <w:tcW w:w="860" w:type="dxa"/>
            <w:vAlign w:val="bottom"/>
            <w:tcBorders>
              <w:top w:val="single" w:sz="8" w:color="auto"/>
            </w:tcBorders>
            <w:gridSpan w:val="3"/>
          </w:tcPr>
          <w:p>
            <w:pPr>
              <w:jc w:val="right"/>
              <w:spacing w:after="0" w:line="189" w:lineRule="exact"/>
              <w:rPr>
                <w:rFonts w:ascii="Arial" w:cs="Arial" w:eastAsia="Arial" w:hAnsi="Arial"/>
                <w:sz w:val="18"/>
                <w:szCs w:val="18"/>
                <w:color w:val="0000FF"/>
              </w:rPr>
            </w:pPr>
            <w:hyperlink r:id="rId6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0" w:type="dxa"/>
            <w:vAlign w:val="bottom"/>
            <w:tcBorders>
              <w:top w:val="single" w:sz="8" w:color="auto"/>
            </w:tcBorders>
            <w:gridSpan w:val="5"/>
          </w:tcPr>
          <w:p>
            <w:pPr>
              <w:spacing w:after="0" w:line="189" w:lineRule="exact"/>
              <w:rPr>
                <w:sz w:val="20"/>
                <w:szCs w:val="20"/>
                <w:color w:val="auto"/>
              </w:rPr>
            </w:pPr>
            <w:r>
              <w:rPr>
                <w:rFonts w:ascii="Arial" w:cs="Arial" w:eastAsia="Arial" w:hAnsi="Arial"/>
                <w:sz w:val="18"/>
                <w:szCs w:val="18"/>
                <w:color w:val="auto"/>
              </w:rPr>
              <w:t>Amended and Restated Certificate of Incorporation, as</w:t>
            </w: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10-Q</w:t>
            </w:r>
          </w:p>
        </w:tc>
        <w:tc>
          <w:tcPr>
            <w:tcW w:w="120" w:type="dxa"/>
            <w:vAlign w:val="bottom"/>
          </w:tcPr>
          <w:p>
            <w:pPr>
              <w:spacing w:after="0"/>
              <w:rPr>
                <w:sz w:val="16"/>
                <w:szCs w:val="16"/>
                <w:color w:val="auto"/>
              </w:rPr>
            </w:pPr>
          </w:p>
        </w:tc>
        <w:tc>
          <w:tcPr>
            <w:tcW w:w="1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August 6, 2010</w:t>
            </w:r>
          </w:p>
        </w:tc>
        <w:tc>
          <w:tcPr>
            <w:tcW w:w="1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amended</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60" w:type="dxa"/>
            <w:vAlign w:val="bottom"/>
            <w:gridSpan w:val="3"/>
          </w:tcPr>
          <w:p>
            <w:pPr>
              <w:jc w:val="right"/>
              <w:spacing w:after="0"/>
              <w:rPr>
                <w:rFonts w:ascii="Arial" w:cs="Arial" w:eastAsia="Arial" w:hAnsi="Arial"/>
                <w:sz w:val="18"/>
                <w:szCs w:val="18"/>
                <w:color w:val="0000FF"/>
              </w:rPr>
            </w:pPr>
            <w:hyperlink r:id="rId6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0" w:type="dxa"/>
            <w:vAlign w:val="bottom"/>
            <w:gridSpan w:val="5"/>
          </w:tcPr>
          <w:p>
            <w:pPr>
              <w:spacing w:after="0"/>
              <w:rPr>
                <w:sz w:val="20"/>
                <w:szCs w:val="20"/>
                <w:color w:val="auto"/>
              </w:rPr>
            </w:pPr>
            <w:r>
              <w:rPr>
                <w:rFonts w:ascii="Arial" w:cs="Arial" w:eastAsia="Arial" w:hAnsi="Arial"/>
                <w:sz w:val="18"/>
                <w:szCs w:val="18"/>
                <w:color w:val="auto"/>
                <w:w w:val="94"/>
              </w:rPr>
              <w:t>Certificate of Designations of Series A Junior Participating</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8-A</w:t>
            </w:r>
          </w:p>
        </w:tc>
        <w:tc>
          <w:tcPr>
            <w:tcW w:w="120" w:type="dxa"/>
            <w:vAlign w:val="bottom"/>
          </w:tcPr>
          <w:p>
            <w:pPr>
              <w:spacing w:after="0"/>
              <w:rPr>
                <w:sz w:val="21"/>
                <w:szCs w:val="21"/>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August 19, 2022</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40" w:type="dxa"/>
            <w:vAlign w:val="bottom"/>
            <w:gridSpan w:val="6"/>
          </w:tcPr>
          <w:p>
            <w:pPr>
              <w:spacing w:after="0" w:line="142" w:lineRule="exact"/>
              <w:rPr>
                <w:sz w:val="20"/>
                <w:szCs w:val="20"/>
                <w:color w:val="auto"/>
              </w:rPr>
            </w:pPr>
            <w:r>
              <w:rPr>
                <w:rFonts w:ascii="Arial" w:cs="Arial" w:eastAsia="Arial" w:hAnsi="Arial"/>
                <w:sz w:val="16"/>
                <w:szCs w:val="16"/>
                <w:color w:val="auto"/>
              </w:rPr>
              <w:t>Cumulative Preferred Stock of KVH Industries, Inc. classifying</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0" w:type="dxa"/>
            <w:vAlign w:val="bottom"/>
            <w:gridSpan w:val="5"/>
          </w:tcPr>
          <w:p>
            <w:pPr>
              <w:spacing w:after="0" w:line="189" w:lineRule="exact"/>
              <w:rPr>
                <w:sz w:val="20"/>
                <w:szCs w:val="20"/>
                <w:color w:val="auto"/>
              </w:rPr>
            </w:pPr>
            <w:r>
              <w:rPr>
                <w:rFonts w:ascii="Arial" w:cs="Arial" w:eastAsia="Arial" w:hAnsi="Arial"/>
                <w:sz w:val="18"/>
                <w:szCs w:val="18"/>
                <w:color w:val="auto"/>
                <w:w w:val="90"/>
              </w:rPr>
              <w:t>and designating the Series A Junior Participating Cumulative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89"/>
              </w:rPr>
              <w:t>Preferred Stock</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gridSpan w:val="3"/>
          </w:tcPr>
          <w:p>
            <w:pPr>
              <w:jc w:val="right"/>
              <w:spacing w:after="0"/>
              <w:rPr>
                <w:rFonts w:ascii="Arial" w:cs="Arial" w:eastAsia="Arial" w:hAnsi="Arial"/>
                <w:sz w:val="18"/>
                <w:szCs w:val="18"/>
                <w:color w:val="0000FF"/>
              </w:rPr>
            </w:pPr>
            <w:hyperlink r:id="rId66">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4"/>
          </w:tcPr>
          <w:p>
            <w:pPr>
              <w:spacing w:after="0"/>
              <w:rPr>
                <w:sz w:val="20"/>
                <w:szCs w:val="20"/>
                <w:color w:val="auto"/>
              </w:rPr>
            </w:pPr>
            <w:r>
              <w:rPr>
                <w:rFonts w:ascii="Arial" w:cs="Arial" w:eastAsia="Arial" w:hAnsi="Arial"/>
                <w:sz w:val="18"/>
                <w:szCs w:val="18"/>
                <w:color w:val="auto"/>
              </w:rPr>
              <w:t>Amended and Restated Bylaws</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0" w:type="dxa"/>
            <w:vAlign w:val="bottom"/>
          </w:tcPr>
          <w:p>
            <w:pPr>
              <w:spacing w:after="0"/>
              <w:rPr>
                <w:sz w:val="21"/>
                <w:szCs w:val="21"/>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November 1, 2017</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0" w:type="dxa"/>
            <w:vAlign w:val="bottom"/>
            <w:gridSpan w:val="3"/>
          </w:tcPr>
          <w:p>
            <w:pPr>
              <w:jc w:val="right"/>
              <w:spacing w:after="0"/>
              <w:rPr>
                <w:rFonts w:ascii="Arial" w:cs="Arial" w:eastAsia="Arial" w:hAnsi="Arial"/>
                <w:sz w:val="18"/>
                <w:szCs w:val="18"/>
                <w:color w:val="0000FF"/>
              </w:rPr>
            </w:pPr>
            <w:hyperlink r:id="rId67">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80" w:type="dxa"/>
            <w:vAlign w:val="bottom"/>
            <w:gridSpan w:val="4"/>
          </w:tcPr>
          <w:p>
            <w:pPr>
              <w:spacing w:after="0"/>
              <w:rPr>
                <w:sz w:val="20"/>
                <w:szCs w:val="20"/>
                <w:color w:val="auto"/>
              </w:rPr>
            </w:pPr>
            <w:r>
              <w:rPr>
                <w:rFonts w:ascii="Arial" w:cs="Arial" w:eastAsia="Arial" w:hAnsi="Arial"/>
                <w:sz w:val="18"/>
                <w:szCs w:val="18"/>
                <w:color w:val="auto"/>
                <w:w w:val="96"/>
              </w:rPr>
              <w:t>Specimen certificate for the common stock</w:t>
            </w: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 2018</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gridSpan w:val="3"/>
          </w:tcPr>
          <w:p>
            <w:pPr>
              <w:jc w:val="right"/>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5"/>
          </w:tcPr>
          <w:p>
            <w:pPr>
              <w:spacing w:after="0"/>
              <w:rPr>
                <w:sz w:val="20"/>
                <w:szCs w:val="20"/>
                <w:color w:val="auto"/>
              </w:rPr>
            </w:pPr>
            <w:r>
              <w:rPr>
                <w:rFonts w:ascii="Arial" w:cs="Arial" w:eastAsia="Arial" w:hAnsi="Arial"/>
                <w:sz w:val="18"/>
                <w:szCs w:val="18"/>
                <w:color w:val="auto"/>
                <w:w w:val="92"/>
              </w:rPr>
              <w:t>Rule 13a-14(a)/15d-14(a) certification of principal executive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officer</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gridSpan w:val="3"/>
          </w:tcPr>
          <w:p>
            <w:pPr>
              <w:jc w:val="right"/>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gridSpan w:val="5"/>
          </w:tcPr>
          <w:p>
            <w:pPr>
              <w:spacing w:after="0"/>
              <w:rPr>
                <w:sz w:val="20"/>
                <w:szCs w:val="20"/>
                <w:color w:val="auto"/>
              </w:rPr>
            </w:pPr>
            <w:r>
              <w:rPr>
                <w:rFonts w:ascii="Arial" w:cs="Arial" w:eastAsia="Arial" w:hAnsi="Arial"/>
                <w:sz w:val="18"/>
                <w:szCs w:val="18"/>
                <w:color w:val="auto"/>
                <w:w w:val="94"/>
              </w:rPr>
              <w:t>Rule 13a-14(a)/15d-14(a) certification of principal financial</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officer</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60" w:type="dxa"/>
            <w:vAlign w:val="bottom"/>
            <w:gridSpan w:val="3"/>
          </w:tcPr>
          <w:p>
            <w:pPr>
              <w:jc w:val="right"/>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0" w:type="dxa"/>
            <w:vAlign w:val="bottom"/>
            <w:gridSpan w:val="5"/>
          </w:tcPr>
          <w:p>
            <w:pPr>
              <w:spacing w:after="0"/>
              <w:rPr>
                <w:sz w:val="20"/>
                <w:szCs w:val="20"/>
                <w:color w:val="auto"/>
              </w:rPr>
            </w:pPr>
            <w:r>
              <w:rPr>
                <w:rFonts w:ascii="Arial" w:cs="Arial" w:eastAsia="Arial" w:hAnsi="Arial"/>
                <w:sz w:val="18"/>
                <w:szCs w:val="18"/>
                <w:color w:val="auto"/>
                <w:w w:val="94"/>
              </w:rPr>
              <w:t>Section 1350 certification of principal executive officer and</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w w:val="99"/>
              </w:rPr>
              <w:t>principal financial officer</w:t>
            </w: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40" w:type="dxa"/>
            <w:vAlign w:val="bottom"/>
            <w:gridSpan w:val="6"/>
          </w:tcPr>
          <w:p>
            <w:pPr>
              <w:spacing w:after="0"/>
              <w:rPr>
                <w:sz w:val="20"/>
                <w:szCs w:val="20"/>
                <w:color w:val="auto"/>
              </w:rPr>
            </w:pPr>
            <w:r>
              <w:rPr>
                <w:rFonts w:ascii="Arial" w:cs="Arial" w:eastAsia="Arial" w:hAnsi="Arial"/>
                <w:sz w:val="18"/>
                <w:szCs w:val="18"/>
                <w:color w:val="auto"/>
              </w:rPr>
              <w:t>The following financial information from KVH Industries,</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6"/>
          </w:tcPr>
          <w:p>
            <w:pPr>
              <w:spacing w:after="0" w:line="176" w:lineRule="exact"/>
              <w:rPr>
                <w:sz w:val="20"/>
                <w:szCs w:val="20"/>
                <w:color w:val="auto"/>
              </w:rPr>
            </w:pPr>
            <w:r>
              <w:rPr>
                <w:rFonts w:ascii="Arial" w:cs="Arial" w:eastAsia="Arial" w:hAnsi="Arial"/>
                <w:sz w:val="18"/>
                <w:szCs w:val="18"/>
                <w:color w:val="auto"/>
                <w:w w:val="98"/>
              </w:rPr>
              <w:t>Inc.'s Quarterly Report on Form 10-Q for the quarter ended</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6"/>
          </w:tcPr>
          <w:p>
            <w:pPr>
              <w:spacing w:after="0" w:line="176" w:lineRule="exact"/>
              <w:rPr>
                <w:sz w:val="20"/>
                <w:szCs w:val="20"/>
                <w:color w:val="auto"/>
              </w:rPr>
            </w:pPr>
            <w:r>
              <w:rPr>
                <w:rFonts w:ascii="Arial" w:cs="Arial" w:eastAsia="Arial" w:hAnsi="Arial"/>
                <w:sz w:val="18"/>
                <w:szCs w:val="18"/>
                <w:color w:val="auto"/>
                <w:w w:val="94"/>
              </w:rPr>
              <w:t>June 30, 2023, formatted in Inline XBRL (Extensible Business</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40" w:type="dxa"/>
            <w:vAlign w:val="bottom"/>
            <w:gridSpan w:val="6"/>
          </w:tcPr>
          <w:p>
            <w:pPr>
              <w:spacing w:after="0" w:line="189" w:lineRule="exact"/>
              <w:rPr>
                <w:sz w:val="20"/>
                <w:szCs w:val="20"/>
                <w:color w:val="auto"/>
              </w:rPr>
            </w:pPr>
            <w:r>
              <w:rPr>
                <w:rFonts w:ascii="Arial" w:cs="Arial" w:eastAsia="Arial" w:hAnsi="Arial"/>
                <w:sz w:val="18"/>
                <w:szCs w:val="18"/>
                <w:color w:val="auto"/>
                <w:w w:val="99"/>
              </w:rPr>
              <w:t>Reporting Language): (i) the Consolidated Balance Sheets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6"/>
          </w:tcPr>
          <w:p>
            <w:pPr>
              <w:spacing w:after="0" w:line="176" w:lineRule="exact"/>
              <w:rPr>
                <w:sz w:val="20"/>
                <w:szCs w:val="20"/>
                <w:color w:val="auto"/>
              </w:rPr>
            </w:pPr>
            <w:r>
              <w:rPr>
                <w:rFonts w:ascii="Arial" w:cs="Arial" w:eastAsia="Arial" w:hAnsi="Arial"/>
                <w:sz w:val="18"/>
                <w:szCs w:val="18"/>
                <w:color w:val="auto"/>
                <w:w w:val="98"/>
              </w:rPr>
              <w:t>(unaudited), (ii) the Consolidated Statements of Operations</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(unaudited),</w:t>
            </w:r>
          </w:p>
        </w:tc>
        <w:tc>
          <w:tcPr>
            <w:tcW w:w="420" w:type="dxa"/>
            <w:vAlign w:val="bottom"/>
          </w:tcPr>
          <w:p>
            <w:pPr>
              <w:ind w:left="20"/>
              <w:spacing w:after="0" w:line="176" w:lineRule="exact"/>
              <w:rPr>
                <w:sz w:val="20"/>
                <w:szCs w:val="20"/>
                <w:color w:val="auto"/>
              </w:rPr>
            </w:pPr>
            <w:r>
              <w:rPr>
                <w:rFonts w:ascii="Arial" w:cs="Arial" w:eastAsia="Arial" w:hAnsi="Arial"/>
                <w:sz w:val="18"/>
                <w:szCs w:val="18"/>
                <w:color w:val="auto"/>
              </w:rPr>
              <w:t>(iii)</w:t>
            </w:r>
          </w:p>
        </w:tc>
        <w:tc>
          <w:tcPr>
            <w:tcW w:w="380" w:type="dxa"/>
            <w:vAlign w:val="bottom"/>
          </w:tcPr>
          <w:p>
            <w:pPr>
              <w:ind w:left="140"/>
              <w:spacing w:after="0" w:line="176" w:lineRule="exact"/>
              <w:rPr>
                <w:sz w:val="20"/>
                <w:szCs w:val="20"/>
                <w:color w:val="auto"/>
              </w:rPr>
            </w:pPr>
            <w:r>
              <w:rPr>
                <w:rFonts w:ascii="Arial" w:cs="Arial" w:eastAsia="Arial" w:hAnsi="Arial"/>
                <w:sz w:val="18"/>
                <w:szCs w:val="18"/>
                <w:color w:val="auto"/>
                <w:w w:val="87"/>
              </w:rPr>
              <w:t>the</w:t>
            </w:r>
          </w:p>
        </w:tc>
        <w:tc>
          <w:tcPr>
            <w:tcW w:w="1340" w:type="dxa"/>
            <w:vAlign w:val="bottom"/>
          </w:tcPr>
          <w:p>
            <w:pPr>
              <w:ind w:left="240"/>
              <w:spacing w:after="0" w:line="176" w:lineRule="exact"/>
              <w:rPr>
                <w:sz w:val="20"/>
                <w:szCs w:val="20"/>
                <w:color w:val="auto"/>
              </w:rPr>
            </w:pPr>
            <w:r>
              <w:rPr>
                <w:rFonts w:ascii="Arial" w:cs="Arial" w:eastAsia="Arial" w:hAnsi="Arial"/>
                <w:sz w:val="18"/>
                <w:szCs w:val="18"/>
                <w:color w:val="auto"/>
              </w:rPr>
              <w:t>Consolidated</w:t>
            </w:r>
          </w:p>
        </w:tc>
        <w:tc>
          <w:tcPr>
            <w:tcW w:w="1120" w:type="dxa"/>
            <w:vAlign w:val="bottom"/>
          </w:tcPr>
          <w:p>
            <w:pPr>
              <w:ind w:left="120"/>
              <w:spacing w:after="0" w:line="176" w:lineRule="exact"/>
              <w:rPr>
                <w:sz w:val="20"/>
                <w:szCs w:val="20"/>
                <w:color w:val="auto"/>
              </w:rPr>
            </w:pPr>
            <w:r>
              <w:rPr>
                <w:rFonts w:ascii="Arial" w:cs="Arial" w:eastAsia="Arial" w:hAnsi="Arial"/>
                <w:sz w:val="18"/>
                <w:szCs w:val="18"/>
                <w:color w:val="auto"/>
              </w:rPr>
              <w:t>Statements</w:t>
            </w:r>
          </w:p>
        </w:tc>
        <w:tc>
          <w:tcPr>
            <w:tcW w:w="240" w:type="dxa"/>
            <w:vAlign w:val="bottom"/>
          </w:tcPr>
          <w:p>
            <w:pPr>
              <w:jc w:val="right"/>
              <w:spacing w:after="0" w:line="176" w:lineRule="exact"/>
              <w:rPr>
                <w:sz w:val="20"/>
                <w:szCs w:val="20"/>
                <w:color w:val="auto"/>
              </w:rPr>
            </w:pPr>
            <w:r>
              <w:rPr>
                <w:rFonts w:ascii="Arial" w:cs="Arial" w:eastAsia="Arial" w:hAnsi="Arial"/>
                <w:sz w:val="18"/>
                <w:szCs w:val="18"/>
                <w:color w:val="auto"/>
              </w:rPr>
              <w:t>of</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line="204" w:lineRule="exact"/>
              <w:rPr>
                <w:sz w:val="20"/>
                <w:szCs w:val="20"/>
                <w:color w:val="auto"/>
              </w:rPr>
            </w:pPr>
            <w:r>
              <w:rPr>
                <w:rFonts w:ascii="Arial" w:cs="Arial" w:eastAsia="Arial" w:hAnsi="Arial"/>
                <w:sz w:val="18"/>
                <w:szCs w:val="18"/>
                <w:color w:val="auto"/>
                <w:w w:val="88"/>
              </w:rPr>
              <w:t>Comprehensive</w:t>
            </w:r>
          </w:p>
        </w:tc>
        <w:tc>
          <w:tcPr>
            <w:tcW w:w="800" w:type="dxa"/>
            <w:vAlign w:val="bottom"/>
            <w:gridSpan w:val="2"/>
          </w:tcPr>
          <w:p>
            <w:pPr>
              <w:ind w:left="220"/>
              <w:spacing w:after="0" w:line="204" w:lineRule="exact"/>
              <w:rPr>
                <w:sz w:val="20"/>
                <w:szCs w:val="20"/>
                <w:color w:val="auto"/>
              </w:rPr>
            </w:pPr>
            <w:r>
              <w:rPr>
                <w:rFonts w:ascii="Arial" w:cs="Arial" w:eastAsia="Arial" w:hAnsi="Arial"/>
                <w:sz w:val="18"/>
                <w:szCs w:val="18"/>
                <w:color w:val="auto"/>
                <w:w w:val="94"/>
              </w:rPr>
              <w:t>Income</w:t>
            </w:r>
          </w:p>
        </w:tc>
        <w:tc>
          <w:tcPr>
            <w:tcW w:w="2460" w:type="dxa"/>
            <w:vAlign w:val="bottom"/>
            <w:gridSpan w:val="2"/>
          </w:tcPr>
          <w:p>
            <w:pPr>
              <w:ind w:left="180"/>
              <w:spacing w:after="0" w:line="204" w:lineRule="exact"/>
              <w:rPr>
                <w:sz w:val="20"/>
                <w:szCs w:val="20"/>
                <w:color w:val="auto"/>
              </w:rPr>
            </w:pPr>
            <w:r>
              <w:rPr>
                <w:rFonts w:ascii="Arial" w:cs="Arial" w:eastAsia="Arial" w:hAnsi="Arial"/>
                <w:sz w:val="18"/>
                <w:szCs w:val="18"/>
                <w:color w:val="auto"/>
              </w:rPr>
              <w:t>(Loss)   (unaudited),   (iv)</w:t>
            </w:r>
          </w:p>
        </w:tc>
        <w:tc>
          <w:tcPr>
            <w:tcW w:w="240" w:type="dxa"/>
            <w:vAlign w:val="bottom"/>
          </w:tcPr>
          <w:p>
            <w:pPr>
              <w:jc w:val="right"/>
              <w:spacing w:after="0" w:line="204" w:lineRule="exact"/>
              <w:rPr>
                <w:sz w:val="20"/>
                <w:szCs w:val="20"/>
                <w:color w:val="auto"/>
              </w:rPr>
            </w:pPr>
            <w:r>
              <w:rPr>
                <w:rFonts w:ascii="Arial" w:cs="Arial" w:eastAsia="Arial" w:hAnsi="Arial"/>
                <w:sz w:val="18"/>
                <w:szCs w:val="18"/>
                <w:color w:val="auto"/>
                <w:w w:val="79"/>
              </w:rPr>
              <w:t>the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000"/>
        <w:spacing w:after="0" w:line="203" w:lineRule="auto"/>
        <w:rPr>
          <w:sz w:val="20"/>
          <w:szCs w:val="20"/>
          <w:color w:val="auto"/>
        </w:rPr>
      </w:pPr>
      <w:r>
        <w:rPr>
          <w:rFonts w:ascii="Arial" w:cs="Arial" w:eastAsia="Arial" w:hAnsi="Arial"/>
          <w:sz w:val="18"/>
          <w:szCs w:val="18"/>
          <w:color w:val="auto"/>
        </w:rPr>
        <w:t>Consolidated Statements of Stockholders' Equity (unaudited),</w:t>
      </w:r>
    </w:p>
    <w:p>
      <w:pPr>
        <w:jc w:val="both"/>
        <w:ind w:left="1000" w:right="5600" w:firstLine="9"/>
        <w:spacing w:after="0" w:line="223" w:lineRule="auto"/>
        <w:tabs>
          <w:tab w:leader="none" w:pos="12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Consolidated Statements of Cash Flows (unaudited), and (vi) the Notes to Consolidated Interim Financial Statements (unaudited).</w:t>
      </w:r>
    </w:p>
    <w:p>
      <w:pPr>
        <w:spacing w:after="0" w:line="55" w:lineRule="exact"/>
        <w:rPr>
          <w:sz w:val="20"/>
          <w:szCs w:val="20"/>
          <w:color w:val="auto"/>
        </w:rPr>
      </w:pPr>
    </w:p>
    <w:p>
      <w:pPr>
        <w:ind w:left="1000" w:right="4740" w:hanging="459"/>
        <w:spacing w:after="0" w:line="277" w:lineRule="auto"/>
        <w:tabs>
          <w:tab w:leader="none" w:pos="980" w:val="left"/>
        </w:tabs>
        <w:rPr>
          <w:sz w:val="20"/>
          <w:szCs w:val="20"/>
          <w:color w:val="auto"/>
        </w:rPr>
      </w:pPr>
      <w:r>
        <w:rPr>
          <w:rFonts w:ascii="Arial" w:cs="Arial" w:eastAsia="Arial" w:hAnsi="Arial"/>
          <w:sz w:val="18"/>
          <w:szCs w:val="18"/>
          <w:color w:val="auto"/>
        </w:rPr>
        <w:t>104</w:t>
        <w:tab/>
        <w:t>Cover Page Interactive Data File (embedded within the Inline X XBRL document)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5" w:name="page46"/>
    <w:bookmarkEnd w:id="45"/>
    <w:p>
      <w:pPr>
        <w:ind w:left="5100"/>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Date: August 9, 2023</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KVH Industries, Inc.</w:t>
      </w:r>
    </w:p>
    <w:p>
      <w:pPr>
        <w:spacing w:after="0" w:line="90" w:lineRule="exact"/>
        <w:rPr>
          <w:sz w:val="20"/>
          <w:szCs w:val="20"/>
          <w:color w:val="auto"/>
        </w:rPr>
      </w:pPr>
    </w:p>
    <w:p>
      <w:pPr>
        <w:ind w:left="524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ROGER A. KUEBEL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Roger A. Kuebel</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(Duly Authorized Officer and Chief Financial</w:t>
      </w:r>
    </w:p>
    <w:p>
      <w:pPr>
        <w:spacing w:after="0" w:line="20"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80"/>
          </w:cols>
          <w:pgMar w:left="320" w:top="1039" w:right="1299" w:bottom="1440" w:gutter="0" w:footer="0" w:header="0"/>
        </w:sectPr>
      </w:pPr>
    </w:p>
    <w:bookmarkStart w:id="46" w:name="page47"/>
    <w:bookmarkEnd w:id="46"/>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or 15d-14 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Brent C. Bruun, certify that:</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KVH Industries, Inc.;</w:t>
      </w:r>
    </w:p>
    <w:p>
      <w:pPr>
        <w:spacing w:after="0" w:line="117"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8"/>
        <w:spacing w:after="0" w:line="277" w:lineRule="auto"/>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80"/>
        <w:spacing w:after="0" w:line="263" w:lineRule="auto"/>
        <w:tabs>
          <w:tab w:leader="none" w:pos="13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spacing w:after="0" w:line="263" w:lineRule="auto"/>
        <w:tabs>
          <w:tab w:leader="none" w:pos="13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spacing w:after="0" w:line="342" w:lineRule="auto"/>
        <w:tabs>
          <w:tab w:leader="none" w:pos="1304"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80"/>
        <w:spacing w:after="0" w:line="263" w:lineRule="auto"/>
        <w:tabs>
          <w:tab w:leader="none" w:pos="13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hanging="8"/>
        <w:spacing w:after="0" w:line="308" w:lineRule="auto"/>
        <w:tabs>
          <w:tab w:leader="none" w:pos="66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spacing w:after="0" w:line="308" w:lineRule="auto"/>
        <w:tabs>
          <w:tab w:leader="none" w:pos="1304"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spacing w:after="0" w:line="277" w:lineRule="auto"/>
        <w:tabs>
          <w:tab w:leader="none" w:pos="13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14605</wp:posOffset>
            </wp:positionV>
            <wp:extent cx="24860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Brent C. Bruun</w:t>
      </w:r>
    </w:p>
    <w:p>
      <w:pPr>
        <w:spacing w:after="0" w:line="19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240"/>
          </w:cols>
          <w:pgMar w:left="320" w:top="891" w:right="339" w:bottom="1440" w:gutter="0" w:footer="0" w:header="0"/>
        </w:sectPr>
      </w:pPr>
    </w:p>
    <w:bookmarkStart w:id="47" w:name="page48"/>
    <w:bookmarkEnd w:id="47"/>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or 15d-14 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Roger A. Kuebel, certify that:</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KVH Industries, Inc.;</w:t>
      </w:r>
    </w:p>
    <w:p>
      <w:pPr>
        <w:spacing w:after="0" w:line="117"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8"/>
        <w:spacing w:after="0" w:line="277" w:lineRule="auto"/>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80"/>
        <w:spacing w:after="0" w:line="263"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spacing w:after="0" w:line="263"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spacing w:after="0" w:line="342" w:lineRule="auto"/>
        <w:tabs>
          <w:tab w:leader="none" w:pos="1304"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80"/>
        <w:spacing w:after="0" w:line="263"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hanging="8"/>
        <w:spacing w:after="0" w:line="308" w:lineRule="auto"/>
        <w:tabs>
          <w:tab w:leader="none" w:pos="66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spacing w:after="0" w:line="308" w:lineRule="auto"/>
        <w:tabs>
          <w:tab w:leader="none" w:pos="1304"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spacing w:after="0" w:line="277"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1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Roger A. Kuebel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14605</wp:posOffset>
            </wp:positionV>
            <wp:extent cx="24860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Roger A. Kuebel</w:t>
      </w: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32.1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KVH Industries, Inc. (the “Company”) for the quarter ended June 30, 2023, as filed with the Securities and Exchange Commission on the date hereof (the “Report”), each of the undersigned President, Chief Executive Officer and Director, and Chief Financial Officer of the Company, certifies, to his best knowledge and belief, pursuant to 18 U.S.C. § 1350, as adopted pursuant to Section 906 of the Sarbanes-Oxley Act of 2002, that:</w:t>
      </w: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Brent C. Bruun</w:t>
            </w:r>
          </w:p>
        </w:tc>
        <w:tc>
          <w:tcPr>
            <w:tcW w:w="2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Roger A. Kuebel</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Brent C. Bruun</w:t>
            </w:r>
          </w:p>
        </w:tc>
        <w:tc>
          <w:tcPr>
            <w:tcW w:w="14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Roger A. Kuebel</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1460" w:type="dxa"/>
            <w:vAlign w:val="bottom"/>
          </w:tcPr>
          <w:p>
            <w:pPr>
              <w:spacing w:after="0"/>
              <w:rPr>
                <w:sz w:val="24"/>
                <w:szCs w:val="24"/>
                <w:color w:val="auto"/>
              </w:rPr>
            </w:pPr>
          </w:p>
        </w:tc>
        <w:tc>
          <w:tcPr>
            <w:tcW w:w="1680" w:type="dxa"/>
            <w:vAlign w:val="bottom"/>
            <w:gridSpan w:val="2"/>
            <w:vMerge w:val="restart"/>
          </w:tcPr>
          <w:p>
            <w:pPr>
              <w:spacing w:after="0"/>
              <w:rPr>
                <w:sz w:val="20"/>
                <w:szCs w:val="20"/>
                <w:color w:val="auto"/>
              </w:rPr>
            </w:pPr>
            <w:r>
              <w:rPr>
                <w:rFonts w:ascii="Arial" w:cs="Arial" w:eastAsia="Arial" w:hAnsi="Arial"/>
                <w:sz w:val="18"/>
                <w:szCs w:val="18"/>
                <w:color w:val="auto"/>
                <w:w w:val="93"/>
              </w:rPr>
              <w:t>Chief Financial Officer</w:t>
            </w:r>
          </w:p>
        </w:tc>
        <w:tc>
          <w:tcPr>
            <w:tcW w:w="0" w:type="dxa"/>
            <w:vAlign w:val="bottom"/>
          </w:tcPr>
          <w:p>
            <w:pPr>
              <w:spacing w:after="0"/>
              <w:rPr>
                <w:sz w:val="1"/>
                <w:szCs w:val="1"/>
                <w:color w:val="auto"/>
              </w:rPr>
            </w:pPr>
          </w:p>
        </w:tc>
      </w:tr>
      <w:tr>
        <w:trPr>
          <w:trHeight w:val="94"/>
        </w:trPr>
        <w:tc>
          <w:tcPr>
            <w:tcW w:w="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240" w:type="dxa"/>
            <w:vAlign w:val="bottom"/>
            <w:gridSpan w:val="2"/>
          </w:tcPr>
          <w:p>
            <w:pPr>
              <w:spacing w:after="0"/>
              <w:rPr>
                <w:sz w:val="20"/>
                <w:szCs w:val="20"/>
                <w:color w:val="auto"/>
              </w:rPr>
            </w:pPr>
            <w:r>
              <w:rPr>
                <w:rFonts w:ascii="Arial" w:cs="Arial" w:eastAsia="Arial" w:hAnsi="Arial"/>
                <w:sz w:val="18"/>
                <w:szCs w:val="18"/>
                <w:color w:val="auto"/>
              </w:rPr>
              <w:t>August 9, 2023</w:t>
            </w:r>
          </w:p>
        </w:tc>
        <w:tc>
          <w:tcPr>
            <w:tcW w:w="1460" w:type="dxa"/>
            <w:vAlign w:val="bottom"/>
          </w:tcPr>
          <w:p>
            <w:pPr>
              <w:ind w:left="800"/>
              <w:spacing w:after="0"/>
              <w:rPr>
                <w:sz w:val="20"/>
                <w:szCs w:val="20"/>
                <w:color w:val="auto"/>
              </w:rPr>
            </w:pPr>
            <w:r>
              <w:rPr>
                <w:rFonts w:ascii="Arial" w:cs="Arial" w:eastAsia="Arial" w:hAnsi="Arial"/>
                <w:sz w:val="18"/>
                <w:szCs w:val="18"/>
                <w:color w:val="auto"/>
              </w:rPr>
              <w:t>Date:</w:t>
            </w:r>
          </w:p>
        </w:tc>
        <w:tc>
          <w:tcPr>
            <w:tcW w:w="1680" w:type="dxa"/>
            <w:vAlign w:val="bottom"/>
            <w:gridSpan w:val="2"/>
          </w:tcPr>
          <w:p>
            <w:pPr>
              <w:spacing w:after="0"/>
              <w:rPr>
                <w:sz w:val="20"/>
                <w:szCs w:val="20"/>
                <w:color w:val="auto"/>
              </w:rPr>
            </w:pPr>
            <w:r>
              <w:rPr>
                <w:rFonts w:ascii="Arial" w:cs="Arial" w:eastAsia="Arial" w:hAnsi="Arial"/>
                <w:sz w:val="18"/>
                <w:szCs w:val="18"/>
                <w:color w:val="auto"/>
              </w:rPr>
              <w:t>August 9, 2023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1)"/>
      <w:numFmt w:val="decimal"/>
      <w:start w:val="14"/>
    </w:lvl>
  </w:abstractNum>
  <w:abstractNum w:abstractNumId="15">
    <w:nsid w:val="3F2DBA31"/>
    <w:multiLevelType w:val="hybridMultilevel"/>
    <w:lvl w:ilvl="0">
      <w:lvlJc w:val="left"/>
      <w:lvlText w:val="(%1)"/>
      <w:numFmt w:val="decimal"/>
      <w:start w:val="15"/>
    </w:lvl>
  </w:abstractNum>
  <w:abstractNum w:abstractNumId="16">
    <w:nsid w:val="7C83E458"/>
    <w:multiLevelType w:val="hybridMultilevel"/>
    <w:lvl w:ilvl="0">
      <w:lvlJc w:val="left"/>
      <w:lvlText w:val="(%1)"/>
      <w:numFmt w:val="decimal"/>
      <w:start w:val="16"/>
    </w:lvl>
  </w:abstractNum>
  <w:abstractNum w:abstractNumId="17">
    <w:nsid w:val="257130A3"/>
    <w:multiLevelType w:val="hybridMultilevel"/>
    <w:lvl w:ilvl="0">
      <w:lvlJc w:val="left"/>
      <w:lvlText w:val="(%1)"/>
      <w:numFmt w:val="lowerRoman"/>
      <w:start w:val="5"/>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64" Type="http://schemas.openxmlformats.org/officeDocument/2006/relationships/hyperlink" Target="http://www.sec.gov/Archives/edgar/data/1007587/000119312510179682/dex31.htm" TargetMode="External"/><Relationship Id="rId65" Type="http://schemas.openxmlformats.org/officeDocument/2006/relationships/hyperlink" Target="https://www.sec.gov/Archives/edgar/data/1007587/000110465922092774/tm2223782d1_ex3-1.htm" TargetMode="External"/><Relationship Id="rId66" Type="http://schemas.openxmlformats.org/officeDocument/2006/relationships/hyperlink" Target="http://www.sec.gov/Archives/edgar/data/1007587/000100758717000038/kvhi1101201710qex32.htm" TargetMode="External"/><Relationship Id="rId67" Type="http://schemas.openxmlformats.org/officeDocument/2006/relationships/hyperlink" Target="http://www.sec.gov/Archives/edgar/data/1007587/000100758718000006/kvhi12312017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2023-08-09T10:55:57Z</dcterms:created>
  <dcterms:modified xsi:type="dcterms:W3CDTF">2023-08-09T10:55:57Z</dcterms:modified>
</cp:coreProperties>
</file>