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Tolley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WOOD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320, 1ST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BRISTOL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KVH INDUSTRIES INC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KVHI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76,234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for continued participation on KVH's board of directors (including various committee positions) issued pursuant to the terms &amp; conditions of KVH Industries' amended and restated 2016 Equity &amp; Incentive Plan. Restricted stock will vest in four installments on each of 11/20/2026, 2/20/2027, 5/20/2027, 8/20/2027, provided Mr. Tolley is still a board member of KVH Industries,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Tolley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6359" TargetMode="External"/><Relationship Id="rId5" Type="http://schemas.openxmlformats.org/officeDocument/2006/relationships/hyperlink" Target="http://www.sec.gov/cgi-bin/browse-edgar?action=getcompany&amp;CIK=0001007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3383</Characters>
  <CharactersWithSpaces>3937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